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40"/>
      </w:pPr>
      <w:r>
        <w:rPr>
          <w:b/>
          <w:color w:val="1A73E8"/>
          <w:sz w:val="28"/>
        </w:rPr>
        <w:t>PIXELDUST</w:t>
      </w:r>
    </w:p>
    <w:p>
      <w:pPr>
        <w:pStyle w:val="Title"/>
      </w:pPr>
      <w:r>
        <w:t>Knowledge Hub Implementation</w:t>
        <w:br/>
        <w:t>Using Google Tools and Products</w:t>
      </w:r>
    </w:p>
    <w:p>
      <w:pPr>
        <w:pStyle w:val="SubtitleCustom"/>
      </w:pPr>
      <w:r>
        <w:t>A detailed architecture for secure organizational knowledge, permission-aware AI, domain agents, automation, and website chat experiences</w:t>
      </w:r>
    </w:p>
    <w:p>
      <w:pPr>
        <w:spacing w:after="2600"/>
      </w:pPr>
    </w:p>
    <w:tbl>
      <w:tblPr>
        <w:tblW w:type="auto" w:w="0"/>
        <w:jc w:val="center"/>
        <w:tblLayout w:type="fixed"/>
        <w:tblLook w:firstColumn="1" w:firstRow="1" w:lastColumn="0" w:lastRow="0" w:noHBand="0" w:noVBand="1" w:val="04A0"/>
      </w:tblPr>
      <w:tblGrid>
        <w:gridCol w:w="9648"/>
      </w:tblGrid>
      <w:tr>
        <w:tc>
          <w:tcPr>
            <w:tcW w:type="dxa" w:w="9936"/>
            <w:shd w:fill="EAF2FF"/>
            <w:tcMar>
              <w:top w:w="160" w:type="dxa"/>
              <w:start w:w="180" w:type="dxa"/>
              <w:bottom w:w="160" w:type="dxa"/>
              <w:end w:w="180" w:type="dxa"/>
            </w:tcMar>
          </w:tcPr>
          <w:p>
            <w:pPr>
              <w:spacing w:after="80"/>
            </w:pPr>
            <w:r>
              <w:rPr>
                <w:b/>
                <w:color w:val="1A428C"/>
              </w:rPr>
              <w:t>Core principle</w:t>
            </w:r>
          </w:p>
          <w:p>
            <w:pPr>
              <w:spacing w:after="0"/>
            </w:pPr>
            <w:r>
              <w:t>Google tools can deliver the same business outcome as the Microsoft architecture, but the final design must deliberately separate source storage, user identity, search permissions, agent instructions, public knowledge, and production application security.</w:t>
            </w:r>
          </w:p>
        </w:tc>
      </w:tr>
    </w:tbl>
    <w:p>
      <w:pPr>
        <w:spacing w:after="0"/>
      </w:pPr>
    </w:p>
    <w:p>
      <w:pPr>
        <w:jc w:val="left"/>
      </w:pPr>
      <w:r>
        <w:rPr>
          <w:b/>
        </w:rPr>
        <w:t>Prepared by Pixeldust</w:t>
        <w:br/>
      </w:r>
      <w:r>
        <w:t>July 2026</w:t>
        <w:br/>
      </w:r>
      <w:r>
        <w:t>Pixeldust Knowledge Hub | Understand. Organize. Empower.</w:t>
      </w:r>
    </w:p>
    <w:p>
      <w:r>
        <w:br w:type="page"/>
      </w:r>
    </w:p>
    <w:p>
      <w:pPr>
        <w:pStyle w:val="Heading1"/>
        <w:keepNext/>
        <w:pageBreakBefore w:val="0"/>
      </w:pPr>
      <w:r>
        <w:t>Executive Summary</w:t>
      </w:r>
    </w:p>
    <w:p>
      <w:r>
        <w:t>The Pixeldust Knowledge Hub can be implemented entirely within the Google ecosystem by combining Google Workspace, Shared Drives, Google Groups, Gemini, NotebookLM, Gemini Enterprise, Vertex AI, Agent Builder, Agent Search, Cloud Identity, Identity and Access Management, and supporting Google Cloud services.</w:t>
      </w:r>
    </w:p>
    <w:p>
      <w:r>
        <w:t>The simplest implementation uses Google Workspace as the source of truth. Documents, procedures, forms, spreadsheets, presentations, recordings, and institutional knowledge are organized in Shared Drives. Access is assigned through Google Groups and Workspace sharing controls. Employees use Gemini in Workspace or approved notebook and agent experiences to find and summarize the information they are already authorized to use.</w:t>
      </w:r>
    </w:p>
    <w:p>
      <w:r>
        <w:t>For stronger control, multiple business domains are separated into different Shared Drives, data stores, notebooks, or agents. Human resources, operations, sales, technical service, compliance, and executive knowledge should not be placed into one unrestricted assistant. Each agent receives an approved source scope, an owner, a defined audience, and instructions describing what it may answer and when it must decline.</w:t>
      </w:r>
    </w:p>
    <w:p>
      <w:r>
        <w:t>For production-grade search, custom workflows, authenticated portals, and website chat, Pixeldust uses Google Cloud. Vertex AI Agent Builder and Agent Search provide retrieval-augmented generation over approved content. Cloud Identity and IAM control who can use the application and its infrastructure. Document-level access controls or end-user authorization can be applied when the agent must honor individual permissions.</w:t>
      </w:r>
    </w:p>
    <w:p>
      <w:r>
        <w:t>Google states that qualifying Google Workspace and Google Cloud enterprise AI services do not use customer prompts, responses, or organizational content to train shared foundation models without permission. Exact protections depend on the service, account type, edition, configuration, and contractual terms. Consumer Gemini accounts must not be treated as equivalent to properly licensed business or enterprise services.</w:t>
      </w:r>
    </w:p>
    <w:p>
      <w:r>
        <w:t>A public website assistant is a separate system. It should use a deliberately public knowledge store containing only approved customer-facing content. Confidential Shared Drives must not be exposed to an anonymous web agent. Private answers require authentication and an authorization design that is enforced at retrieval time.</w:t>
      </w:r>
    </w:p>
    <w:tbl>
      <w:tblPr>
        <w:tblW w:type="auto" w:w="0"/>
        <w:jc w:val="center"/>
        <w:tblLayout w:type="fixed"/>
        <w:tblLook w:firstColumn="1" w:firstRow="1" w:lastColumn="0" w:lastRow="0" w:noHBand="0" w:noVBand="1" w:val="04A0"/>
      </w:tblPr>
      <w:tblGrid>
        <w:gridCol w:w="9648"/>
      </w:tblGrid>
      <w:tr>
        <w:tc>
          <w:tcPr>
            <w:tcW w:type="dxa" w:w="9936"/>
            <w:shd w:fill="EAF2FF"/>
            <w:tcMar>
              <w:top w:w="160" w:type="dxa"/>
              <w:start w:w="180" w:type="dxa"/>
              <w:bottom w:w="160" w:type="dxa"/>
              <w:end w:w="180" w:type="dxa"/>
            </w:tcMar>
          </w:tcPr>
          <w:p>
            <w:pPr>
              <w:spacing w:after="80"/>
            </w:pPr>
            <w:r>
              <w:rPr>
                <w:b/>
                <w:color w:val="1A428C"/>
              </w:rPr>
              <w:t>Recommended default</w:t>
            </w:r>
          </w:p>
          <w:p>
            <w:pPr>
              <w:spacing w:after="0"/>
            </w:pPr>
            <w:r>
              <w:t>Use Google Workspace Shared Drives and Google Groups for governed content; Gemini Enterprise or a Vertex AI custom agent for permission-aware enterprise search; and a separate Vertex AI Search data store for anonymous website chat.</w:t>
            </w:r>
          </w:p>
        </w:tc>
      </w:tr>
    </w:tbl>
    <w:p>
      <w:pPr>
        <w:spacing w:after="0"/>
      </w:pPr>
    </w:p>
    <w:p>
      <w:pPr>
        <w:pStyle w:val="Heading1"/>
        <w:keepNext/>
        <w:pageBreakBefore w:val="0"/>
      </w:pPr>
      <w:r>
        <w:t>1. Architectural Overview</w:t>
      </w:r>
    </w:p>
    <w:p>
      <w:r>
        <w:t>The Google implementation is not one product. It is a controlled stack in which each layer has a specific responsibility.</w:t>
      </w:r>
    </w:p>
    <w:tbl>
      <w:tblPr>
        <w:tblStyle w:val="TableGrid"/>
        <w:tblW w:type="auto" w:w="0"/>
        <w:jc w:val="center"/>
        <w:tblLook w:firstColumn="1" w:firstRow="1" w:lastColumn="0" w:lastRow="0" w:noHBand="0" w:noVBand="1" w:val="04A0"/>
      </w:tblPr>
      <w:tblGrid>
        <w:gridCol w:w="3312"/>
        <w:gridCol w:w="3312"/>
        <w:gridCol w:w="3312"/>
      </w:tblGrid>
      <w:tr>
        <w:trPr>
          <w:tblHeader w:val="true"/>
        </w:trPr>
        <w:tc>
          <w:tcPr>
            <w:tcW w:type="dxa" w:w="1584"/>
            <w:shd w:fill="17365D"/>
            <w:tcMar>
              <w:top w:w="100" w:type="dxa"/>
              <w:start w:w="120" w:type="dxa"/>
              <w:bottom w:w="100" w:type="dxa"/>
              <w:end w:w="120" w:type="dxa"/>
            </w:tcMar>
          </w:tcPr>
          <w:p>
            <w:pPr>
              <w:jc w:val="left"/>
            </w:pPr>
            <w:r>
              <w:rPr>
                <w:b/>
                <w:color w:val="FFFFFF"/>
                <w:sz w:val="18"/>
              </w:rPr>
              <w:t>Layer</w:t>
            </w:r>
          </w:p>
        </w:tc>
        <w:tc>
          <w:tcPr>
            <w:tcW w:type="dxa" w:w="2880"/>
            <w:shd w:fill="17365D"/>
            <w:tcMar>
              <w:top w:w="100" w:type="dxa"/>
              <w:start w:w="120" w:type="dxa"/>
              <w:bottom w:w="100" w:type="dxa"/>
              <w:end w:w="120" w:type="dxa"/>
            </w:tcMar>
          </w:tcPr>
          <w:p>
            <w:pPr>
              <w:jc w:val="left"/>
            </w:pPr>
            <w:r>
              <w:rPr>
                <w:b/>
                <w:color w:val="FFFFFF"/>
                <w:sz w:val="18"/>
              </w:rPr>
              <w:t>Primary Google products</w:t>
            </w:r>
          </w:p>
        </w:tc>
        <w:tc>
          <w:tcPr>
            <w:tcW w:type="dxa" w:w="5184"/>
            <w:shd w:fill="17365D"/>
            <w:tcMar>
              <w:top w:w="100" w:type="dxa"/>
              <w:start w:w="120" w:type="dxa"/>
              <w:bottom w:w="100" w:type="dxa"/>
              <w:end w:w="120" w:type="dxa"/>
            </w:tcMar>
          </w:tcPr>
          <w:p>
            <w:pPr>
              <w:jc w:val="left"/>
            </w:pPr>
            <w:r>
              <w:rPr>
                <w:b/>
                <w:color w:val="FFFFFF"/>
                <w:sz w:val="18"/>
              </w:rPr>
              <w:t>Purpose</w:t>
            </w:r>
          </w:p>
        </w:tc>
      </w:tr>
      <w:tr>
        <w:tc>
          <w:tcPr>
            <w:tcW w:type="dxa" w:w="1584"/>
            <w:tcMar>
              <w:top w:w="100" w:type="dxa"/>
              <w:start w:w="120" w:type="dxa"/>
              <w:bottom w:w="100" w:type="dxa"/>
              <w:end w:w="120" w:type="dxa"/>
            </w:tcMar>
            <w:vAlign w:val="top"/>
          </w:tcPr>
          <w:p>
            <w:pPr>
              <w:spacing w:after="0"/>
            </w:pPr>
            <w:r>
              <w:rPr>
                <w:sz w:val="18"/>
              </w:rPr>
              <w:t>Identity</w:t>
            </w:r>
          </w:p>
        </w:tc>
        <w:tc>
          <w:tcPr>
            <w:tcW w:type="dxa" w:w="2880"/>
            <w:tcMar>
              <w:top w:w="100" w:type="dxa"/>
              <w:start w:w="120" w:type="dxa"/>
              <w:bottom w:w="100" w:type="dxa"/>
              <w:end w:w="120" w:type="dxa"/>
            </w:tcMar>
            <w:vAlign w:val="top"/>
          </w:tcPr>
          <w:p>
            <w:pPr>
              <w:spacing w:after="0"/>
            </w:pPr>
            <w:r>
              <w:rPr>
                <w:sz w:val="18"/>
              </w:rPr>
              <w:t>Cloud Identity, Google Workspace directory, Google Groups, multi-factor authentication</w:t>
            </w:r>
          </w:p>
        </w:tc>
        <w:tc>
          <w:tcPr>
            <w:tcW w:type="dxa" w:w="5184"/>
            <w:tcMar>
              <w:top w:w="100" w:type="dxa"/>
              <w:start w:w="120" w:type="dxa"/>
              <w:bottom w:w="100" w:type="dxa"/>
              <w:end w:w="120" w:type="dxa"/>
            </w:tcMar>
            <w:vAlign w:val="top"/>
          </w:tcPr>
          <w:p>
            <w:pPr>
              <w:spacing w:after="0"/>
            </w:pPr>
            <w:r>
              <w:rPr>
                <w:sz w:val="18"/>
              </w:rPr>
              <w:t>Establish who the user is and which organizational groups they belong to.</w:t>
            </w:r>
          </w:p>
        </w:tc>
      </w:tr>
      <w:tr>
        <w:tc>
          <w:tcPr>
            <w:tcW w:type="dxa" w:w="1584"/>
            <w:tcMar>
              <w:top w:w="100" w:type="dxa"/>
              <w:start w:w="120" w:type="dxa"/>
              <w:bottom w:w="100" w:type="dxa"/>
              <w:end w:w="120" w:type="dxa"/>
            </w:tcMar>
            <w:vAlign w:val="top"/>
          </w:tcPr>
          <w:p>
            <w:pPr>
              <w:spacing w:after="0"/>
            </w:pPr>
            <w:r>
              <w:rPr>
                <w:sz w:val="18"/>
              </w:rPr>
              <w:t>Knowledge storage</w:t>
            </w:r>
          </w:p>
        </w:tc>
        <w:tc>
          <w:tcPr>
            <w:tcW w:type="dxa" w:w="2880"/>
            <w:tcMar>
              <w:top w:w="100" w:type="dxa"/>
              <w:start w:w="120" w:type="dxa"/>
              <w:bottom w:w="100" w:type="dxa"/>
              <w:end w:w="120" w:type="dxa"/>
            </w:tcMar>
            <w:vAlign w:val="top"/>
          </w:tcPr>
          <w:p>
            <w:pPr>
              <w:spacing w:after="0"/>
            </w:pPr>
            <w:r>
              <w:rPr>
                <w:sz w:val="18"/>
              </w:rPr>
              <w:t>Google Drive, Shared Drives, Docs, Sheets, Slides, Sites, Gmail exports, Meet transcripts</w:t>
            </w:r>
          </w:p>
        </w:tc>
        <w:tc>
          <w:tcPr>
            <w:tcW w:type="dxa" w:w="5184"/>
            <w:tcMar>
              <w:top w:w="100" w:type="dxa"/>
              <w:start w:w="120" w:type="dxa"/>
              <w:bottom w:w="100" w:type="dxa"/>
              <w:end w:w="120" w:type="dxa"/>
            </w:tcMar>
            <w:vAlign w:val="top"/>
          </w:tcPr>
          <w:p>
            <w:pPr>
              <w:spacing w:after="0"/>
            </w:pPr>
            <w:r>
              <w:rPr>
                <w:sz w:val="18"/>
              </w:rPr>
              <w:t>Store approved organizational knowledge and preserve ownership inside the organization.</w:t>
            </w:r>
          </w:p>
        </w:tc>
      </w:tr>
      <w:tr>
        <w:tc>
          <w:tcPr>
            <w:tcW w:type="dxa" w:w="1584"/>
            <w:tcMar>
              <w:top w:w="100" w:type="dxa"/>
              <w:start w:w="120" w:type="dxa"/>
              <w:bottom w:w="100" w:type="dxa"/>
              <w:end w:w="120" w:type="dxa"/>
            </w:tcMar>
            <w:vAlign w:val="top"/>
          </w:tcPr>
          <w:p>
            <w:pPr>
              <w:spacing w:after="0"/>
            </w:pPr>
            <w:r>
              <w:rPr>
                <w:sz w:val="18"/>
              </w:rPr>
              <w:t>Permissions and governance</w:t>
            </w:r>
          </w:p>
        </w:tc>
        <w:tc>
          <w:tcPr>
            <w:tcW w:type="dxa" w:w="2880"/>
            <w:tcMar>
              <w:top w:w="100" w:type="dxa"/>
              <w:start w:w="120" w:type="dxa"/>
              <w:bottom w:w="100" w:type="dxa"/>
              <w:end w:w="120" w:type="dxa"/>
            </w:tcMar>
            <w:vAlign w:val="top"/>
          </w:tcPr>
          <w:p>
            <w:pPr>
              <w:spacing w:after="0"/>
            </w:pPr>
            <w:r>
              <w:rPr>
                <w:sz w:val="18"/>
              </w:rPr>
              <w:t>Workspace Admin console, Drive sharing controls, Groups, organizational units, DLP, Vault, audit logs</w:t>
            </w:r>
          </w:p>
        </w:tc>
        <w:tc>
          <w:tcPr>
            <w:tcW w:type="dxa" w:w="5184"/>
            <w:tcMar>
              <w:top w:w="100" w:type="dxa"/>
              <w:start w:w="120" w:type="dxa"/>
              <w:bottom w:w="100" w:type="dxa"/>
              <w:end w:w="120" w:type="dxa"/>
            </w:tcMar>
            <w:vAlign w:val="top"/>
          </w:tcPr>
          <w:p>
            <w:pPr>
              <w:spacing w:after="0"/>
            </w:pPr>
            <w:r>
              <w:rPr>
                <w:sz w:val="18"/>
              </w:rPr>
              <w:t>Control access, sharing, retention, discovery, and monitoring.</w:t>
            </w:r>
          </w:p>
        </w:tc>
      </w:tr>
      <w:tr>
        <w:tc>
          <w:tcPr>
            <w:tcW w:type="dxa" w:w="1584"/>
            <w:tcMar>
              <w:top w:w="100" w:type="dxa"/>
              <w:start w:w="120" w:type="dxa"/>
              <w:bottom w:w="100" w:type="dxa"/>
              <w:end w:w="120" w:type="dxa"/>
            </w:tcMar>
            <w:vAlign w:val="top"/>
          </w:tcPr>
          <w:p>
            <w:pPr>
              <w:spacing w:after="0"/>
            </w:pPr>
            <w:r>
              <w:rPr>
                <w:sz w:val="18"/>
              </w:rPr>
              <w:t>Employee AI experience</w:t>
            </w:r>
          </w:p>
        </w:tc>
        <w:tc>
          <w:tcPr>
            <w:tcW w:type="dxa" w:w="2880"/>
            <w:tcMar>
              <w:top w:w="100" w:type="dxa"/>
              <w:start w:w="120" w:type="dxa"/>
              <w:bottom w:w="100" w:type="dxa"/>
              <w:end w:w="120" w:type="dxa"/>
            </w:tcMar>
            <w:vAlign w:val="top"/>
          </w:tcPr>
          <w:p>
            <w:pPr>
              <w:spacing w:after="0"/>
            </w:pPr>
            <w:r>
              <w:rPr>
                <w:sz w:val="18"/>
              </w:rPr>
              <w:t>Gemini in Workspace, Gemini app under Workspace terms, NotebookLM, Gemini Enterprise</w:t>
            </w:r>
          </w:p>
        </w:tc>
        <w:tc>
          <w:tcPr>
            <w:tcW w:type="dxa" w:w="5184"/>
            <w:tcMar>
              <w:top w:w="100" w:type="dxa"/>
              <w:start w:w="120" w:type="dxa"/>
              <w:bottom w:w="100" w:type="dxa"/>
              <w:end w:w="120" w:type="dxa"/>
            </w:tcMar>
            <w:vAlign w:val="top"/>
          </w:tcPr>
          <w:p>
            <w:pPr>
              <w:spacing w:after="0"/>
            </w:pPr>
            <w:r>
              <w:rPr>
                <w:sz w:val="18"/>
              </w:rPr>
              <w:t>Give employees conversational access to authorized information.</w:t>
            </w:r>
          </w:p>
        </w:tc>
      </w:tr>
      <w:tr>
        <w:tc>
          <w:tcPr>
            <w:tcW w:type="dxa" w:w="1584"/>
            <w:tcMar>
              <w:top w:w="100" w:type="dxa"/>
              <w:start w:w="120" w:type="dxa"/>
              <w:bottom w:w="100" w:type="dxa"/>
              <w:end w:w="120" w:type="dxa"/>
            </w:tcMar>
            <w:vAlign w:val="top"/>
          </w:tcPr>
          <w:p>
            <w:pPr>
              <w:spacing w:after="0"/>
            </w:pPr>
            <w:r>
              <w:rPr>
                <w:sz w:val="18"/>
              </w:rPr>
              <w:t>Production agent layer</w:t>
            </w:r>
          </w:p>
        </w:tc>
        <w:tc>
          <w:tcPr>
            <w:tcW w:type="dxa" w:w="2880"/>
            <w:tcMar>
              <w:top w:w="100" w:type="dxa"/>
              <w:start w:w="120" w:type="dxa"/>
              <w:bottom w:w="100" w:type="dxa"/>
              <w:end w:w="120" w:type="dxa"/>
            </w:tcMar>
            <w:vAlign w:val="top"/>
          </w:tcPr>
          <w:p>
            <w:pPr>
              <w:spacing w:after="0"/>
            </w:pPr>
            <w:r>
              <w:rPr>
                <w:sz w:val="18"/>
              </w:rPr>
              <w:t>Vertex AI Agent Builder, Agent Development Kit, Agent Engine, Gemini models</w:t>
            </w:r>
          </w:p>
        </w:tc>
        <w:tc>
          <w:tcPr>
            <w:tcW w:type="dxa" w:w="5184"/>
            <w:tcMar>
              <w:top w:w="100" w:type="dxa"/>
              <w:start w:w="120" w:type="dxa"/>
              <w:bottom w:w="100" w:type="dxa"/>
              <w:end w:w="120" w:type="dxa"/>
            </w:tcMar>
            <w:vAlign w:val="top"/>
          </w:tcPr>
          <w:p>
            <w:pPr>
              <w:spacing w:after="0"/>
            </w:pPr>
            <w:r>
              <w:rPr>
                <w:sz w:val="18"/>
              </w:rPr>
              <w:t>Build, deploy, govern, and scale custom agents and workflows.</w:t>
            </w:r>
          </w:p>
        </w:tc>
      </w:tr>
      <w:tr>
        <w:tc>
          <w:tcPr>
            <w:tcW w:type="dxa" w:w="1584"/>
            <w:tcMar>
              <w:top w:w="100" w:type="dxa"/>
              <w:start w:w="120" w:type="dxa"/>
              <w:bottom w:w="100" w:type="dxa"/>
              <w:end w:w="120" w:type="dxa"/>
            </w:tcMar>
            <w:vAlign w:val="top"/>
          </w:tcPr>
          <w:p>
            <w:pPr>
              <w:spacing w:after="0"/>
            </w:pPr>
            <w:r>
              <w:rPr>
                <w:sz w:val="18"/>
              </w:rPr>
              <w:t>Search and grounding</w:t>
            </w:r>
          </w:p>
        </w:tc>
        <w:tc>
          <w:tcPr>
            <w:tcW w:type="dxa" w:w="2880"/>
            <w:tcMar>
              <w:top w:w="100" w:type="dxa"/>
              <w:start w:w="120" w:type="dxa"/>
              <w:bottom w:w="100" w:type="dxa"/>
              <w:end w:w="120" w:type="dxa"/>
            </w:tcMar>
            <w:vAlign w:val="top"/>
          </w:tcPr>
          <w:p>
            <w:pPr>
              <w:spacing w:after="0"/>
            </w:pPr>
            <w:r>
              <w:rPr>
                <w:sz w:val="18"/>
              </w:rPr>
              <w:t>Agent Search / Vertex AI Search, enterprise connectors, approved data stores</w:t>
            </w:r>
          </w:p>
        </w:tc>
        <w:tc>
          <w:tcPr>
            <w:tcW w:type="dxa" w:w="5184"/>
            <w:tcMar>
              <w:top w:w="100" w:type="dxa"/>
              <w:start w:w="120" w:type="dxa"/>
              <w:bottom w:w="100" w:type="dxa"/>
              <w:end w:w="120" w:type="dxa"/>
            </w:tcMar>
            <w:vAlign w:val="top"/>
          </w:tcPr>
          <w:p>
            <w:pPr>
              <w:spacing w:after="0"/>
            </w:pPr>
            <w:r>
              <w:rPr>
                <w:sz w:val="18"/>
              </w:rPr>
              <w:t>Retrieve relevant source material before a model creates an answer.</w:t>
            </w:r>
          </w:p>
        </w:tc>
      </w:tr>
      <w:tr>
        <w:tc>
          <w:tcPr>
            <w:tcW w:type="dxa" w:w="1584"/>
            <w:tcMar>
              <w:top w:w="100" w:type="dxa"/>
              <w:start w:w="120" w:type="dxa"/>
              <w:bottom w:w="100" w:type="dxa"/>
              <w:end w:w="120" w:type="dxa"/>
            </w:tcMar>
            <w:vAlign w:val="top"/>
          </w:tcPr>
          <w:p>
            <w:pPr>
              <w:spacing w:after="0"/>
            </w:pPr>
            <w:r>
              <w:rPr>
                <w:sz w:val="18"/>
              </w:rPr>
              <w:t>Application layer</w:t>
            </w:r>
          </w:p>
        </w:tc>
        <w:tc>
          <w:tcPr>
            <w:tcW w:type="dxa" w:w="2880"/>
            <w:tcMar>
              <w:top w:w="100" w:type="dxa"/>
              <w:start w:w="120" w:type="dxa"/>
              <w:bottom w:w="100" w:type="dxa"/>
              <w:end w:w="120" w:type="dxa"/>
            </w:tcMar>
            <w:vAlign w:val="top"/>
          </w:tcPr>
          <w:p>
            <w:pPr>
              <w:spacing w:after="0"/>
            </w:pPr>
            <w:r>
              <w:rPr>
                <w:sz w:val="18"/>
              </w:rPr>
              <w:t>Google Sites, custom web app, Cloud Run, Firebase Hosting, Apigee or API Gateway</w:t>
            </w:r>
          </w:p>
        </w:tc>
        <w:tc>
          <w:tcPr>
            <w:tcW w:type="dxa" w:w="5184"/>
            <w:tcMar>
              <w:top w:w="100" w:type="dxa"/>
              <w:start w:w="120" w:type="dxa"/>
              <w:bottom w:w="100" w:type="dxa"/>
              <w:end w:w="120" w:type="dxa"/>
            </w:tcMar>
            <w:vAlign w:val="top"/>
          </w:tcPr>
          <w:p>
            <w:pPr>
              <w:spacing w:after="0"/>
            </w:pPr>
            <w:r>
              <w:rPr>
                <w:sz w:val="18"/>
              </w:rPr>
              <w:t>Deliver internal portals, customer portals, mobile experiences, and website chat.</w:t>
            </w:r>
          </w:p>
        </w:tc>
      </w:tr>
      <w:tr>
        <w:tc>
          <w:tcPr>
            <w:tcW w:type="dxa" w:w="1584"/>
            <w:tcMar>
              <w:top w:w="100" w:type="dxa"/>
              <w:start w:w="120" w:type="dxa"/>
              <w:bottom w:w="100" w:type="dxa"/>
              <w:end w:w="120" w:type="dxa"/>
            </w:tcMar>
            <w:vAlign w:val="top"/>
          </w:tcPr>
          <w:p>
            <w:pPr>
              <w:spacing w:after="0"/>
            </w:pPr>
            <w:r>
              <w:rPr>
                <w:sz w:val="18"/>
              </w:rPr>
              <w:t>Security and operations</w:t>
            </w:r>
          </w:p>
        </w:tc>
        <w:tc>
          <w:tcPr>
            <w:tcW w:type="dxa" w:w="2880"/>
            <w:tcMar>
              <w:top w:w="100" w:type="dxa"/>
              <w:start w:w="120" w:type="dxa"/>
              <w:bottom w:w="100" w:type="dxa"/>
              <w:end w:w="120" w:type="dxa"/>
            </w:tcMar>
            <w:vAlign w:val="top"/>
          </w:tcPr>
          <w:p>
            <w:pPr>
              <w:spacing w:after="0"/>
            </w:pPr>
            <w:r>
              <w:rPr>
                <w:sz w:val="18"/>
              </w:rPr>
              <w:t>IAM, VPC Service Controls, Secret Manager, Cloud Logging, Cloud Monitoring, Security Command Center, Model Armor</w:t>
            </w:r>
          </w:p>
        </w:tc>
        <w:tc>
          <w:tcPr>
            <w:tcW w:type="dxa" w:w="5184"/>
            <w:tcMar>
              <w:top w:w="100" w:type="dxa"/>
              <w:start w:w="120" w:type="dxa"/>
              <w:bottom w:w="100" w:type="dxa"/>
              <w:end w:w="120" w:type="dxa"/>
            </w:tcMar>
            <w:vAlign w:val="top"/>
          </w:tcPr>
          <w:p>
            <w:pPr>
              <w:spacing w:after="0"/>
            </w:pPr>
            <w:r>
              <w:rPr>
                <w:sz w:val="18"/>
              </w:rPr>
              <w:t>Protect infrastructure, credentials, network boundaries, logs, and agent behavior.</w:t>
            </w:r>
          </w:p>
        </w:tc>
      </w:tr>
    </w:tbl>
    <w:p>
      <w:pPr>
        <w:spacing w:after="0"/>
      </w:pPr>
    </w:p>
    <w:p>
      <w:pPr>
        <w:pStyle w:val="Heading1"/>
        <w:keepNext/>
        <w:pageBreakBefore/>
      </w:pPr>
      <w:r>
        <w:t>2. Google Workspace as the Knowledge Foundation</w:t>
      </w:r>
    </w:p>
    <w:p>
      <w:pPr>
        <w:pStyle w:val="Heading2"/>
        <w:keepNext/>
        <w:pageBreakBefore w:val="0"/>
      </w:pPr>
      <w:r>
        <w:t>2.1 Shared Drives rather than personal My Drive folders</w:t>
      </w:r>
    </w:p>
    <w:p>
      <w:r>
        <w:t>Authoritative business knowledge should be stored in Shared Drives owned by the organization. This prevents critical documents from remaining under a single employee’s personal ownership and simplifies role changes, offboarding, continuity, and governance.</w:t>
      </w:r>
    </w:p>
    <w:p>
      <w:pPr>
        <w:pStyle w:val="ListBullet"/>
        <w:spacing w:after="60"/>
      </w:pPr>
      <w:r>
        <w:t>Create separate Shared Drives for materially different business or security domains.</w:t>
      </w:r>
    </w:p>
    <w:p>
      <w:pPr>
        <w:pStyle w:val="ListBullet"/>
        <w:spacing w:after="60"/>
      </w:pPr>
      <w:r>
        <w:t>Assign access through Google Groups rather than repeatedly sharing files with individuals.</w:t>
      </w:r>
    </w:p>
    <w:p>
      <w:pPr>
        <w:pStyle w:val="ListBullet"/>
        <w:spacing w:after="60"/>
      </w:pPr>
      <w:r>
        <w:t>Limit Shared Drive manager rights to designated owners and administrators.</w:t>
      </w:r>
    </w:p>
    <w:p>
      <w:pPr>
        <w:pStyle w:val="ListBullet"/>
        <w:spacing w:after="60"/>
      </w:pPr>
      <w:r>
        <w:t>Disable or restrict external sharing where the domain does not require it.</w:t>
      </w:r>
    </w:p>
    <w:p>
      <w:pPr>
        <w:pStyle w:val="ListBullet"/>
        <w:spacing w:after="60"/>
      </w:pPr>
      <w:r>
        <w:t>Use clear folder structures, metadata conventions, naming standards, review dates, and document owners.</w:t>
      </w:r>
    </w:p>
    <w:p>
      <w:pPr>
        <w:pStyle w:val="Heading2"/>
        <w:keepNext/>
        <w:pageBreakBefore w:val="0"/>
      </w:pPr>
      <w:r>
        <w:t>2.2 Recommended domain structure</w:t>
      </w:r>
    </w:p>
    <w:tbl>
      <w:tblPr>
        <w:tblStyle w:val="TableGrid"/>
        <w:tblW w:type="auto" w:w="0"/>
        <w:jc w:val="center"/>
        <w:tblLook w:firstColumn="1" w:firstRow="1" w:lastColumn="0" w:lastRow="0" w:noHBand="0" w:noVBand="1" w:val="04A0"/>
      </w:tblPr>
      <w:tblGrid>
        <w:gridCol w:w="3312"/>
        <w:gridCol w:w="3312"/>
        <w:gridCol w:w="3312"/>
      </w:tblGrid>
      <w:tr>
        <w:trPr>
          <w:tblHeader w:val="true"/>
        </w:trPr>
        <w:tc>
          <w:tcPr>
            <w:tcW w:type="dxa" w:w="2016"/>
            <w:shd w:fill="17365D"/>
            <w:tcMar>
              <w:top w:w="100" w:type="dxa"/>
              <w:start w:w="120" w:type="dxa"/>
              <w:bottom w:w="100" w:type="dxa"/>
              <w:end w:w="120" w:type="dxa"/>
            </w:tcMar>
          </w:tcPr>
          <w:p>
            <w:pPr>
              <w:jc w:val="left"/>
            </w:pPr>
            <w:r>
              <w:rPr>
                <w:b/>
                <w:color w:val="FFFFFF"/>
                <w:sz w:val="18"/>
              </w:rPr>
              <w:t>Knowledge domain</w:t>
            </w:r>
          </w:p>
        </w:tc>
        <w:tc>
          <w:tcPr>
            <w:tcW w:type="dxa" w:w="4608"/>
            <w:shd w:fill="17365D"/>
            <w:tcMar>
              <w:top w:w="100" w:type="dxa"/>
              <w:start w:w="120" w:type="dxa"/>
              <w:bottom w:w="100" w:type="dxa"/>
              <w:end w:w="120" w:type="dxa"/>
            </w:tcMar>
          </w:tcPr>
          <w:p>
            <w:pPr>
              <w:jc w:val="left"/>
            </w:pPr>
            <w:r>
              <w:rPr>
                <w:b/>
                <w:color w:val="FFFFFF"/>
                <w:sz w:val="18"/>
              </w:rPr>
              <w:t>Typical sources</w:t>
            </w:r>
          </w:p>
        </w:tc>
        <w:tc>
          <w:tcPr>
            <w:tcW w:type="dxa" w:w="3024"/>
            <w:shd w:fill="17365D"/>
            <w:tcMar>
              <w:top w:w="100" w:type="dxa"/>
              <w:start w:w="120" w:type="dxa"/>
              <w:bottom w:w="100" w:type="dxa"/>
              <w:end w:w="120" w:type="dxa"/>
            </w:tcMar>
          </w:tcPr>
          <w:p>
            <w:pPr>
              <w:jc w:val="left"/>
            </w:pPr>
            <w:r>
              <w:rPr>
                <w:b/>
                <w:color w:val="FFFFFF"/>
                <w:sz w:val="18"/>
              </w:rPr>
              <w:t>Default audience</w:t>
            </w:r>
          </w:p>
        </w:tc>
      </w:tr>
      <w:tr>
        <w:tc>
          <w:tcPr>
            <w:tcW w:type="dxa" w:w="2016"/>
            <w:tcMar>
              <w:top w:w="100" w:type="dxa"/>
              <w:start w:w="120" w:type="dxa"/>
              <w:bottom w:w="100" w:type="dxa"/>
              <w:end w:w="120" w:type="dxa"/>
            </w:tcMar>
            <w:vAlign w:val="top"/>
          </w:tcPr>
          <w:p>
            <w:pPr>
              <w:spacing w:after="0"/>
            </w:pPr>
            <w:r>
              <w:rPr>
                <w:sz w:val="18"/>
              </w:rPr>
              <w:t>Company-wide</w:t>
            </w:r>
          </w:p>
        </w:tc>
        <w:tc>
          <w:tcPr>
            <w:tcW w:type="dxa" w:w="4608"/>
            <w:tcMar>
              <w:top w:w="100" w:type="dxa"/>
              <w:start w:w="120" w:type="dxa"/>
              <w:bottom w:w="100" w:type="dxa"/>
              <w:end w:w="120" w:type="dxa"/>
            </w:tcMar>
            <w:vAlign w:val="top"/>
          </w:tcPr>
          <w:p>
            <w:pPr>
              <w:spacing w:after="0"/>
            </w:pPr>
            <w:r>
              <w:rPr>
                <w:sz w:val="18"/>
              </w:rPr>
              <w:t>Employee handbook, approved policies, directory, benefits summaries, common procedures</w:t>
            </w:r>
          </w:p>
        </w:tc>
        <w:tc>
          <w:tcPr>
            <w:tcW w:type="dxa" w:w="3024"/>
            <w:tcMar>
              <w:top w:w="100" w:type="dxa"/>
              <w:start w:w="120" w:type="dxa"/>
              <w:bottom w:w="100" w:type="dxa"/>
              <w:end w:w="120" w:type="dxa"/>
            </w:tcMar>
            <w:vAlign w:val="top"/>
          </w:tcPr>
          <w:p>
            <w:pPr>
              <w:spacing w:after="0"/>
            </w:pPr>
            <w:r>
              <w:rPr>
                <w:sz w:val="18"/>
              </w:rPr>
              <w:t>All employees</w:t>
            </w:r>
          </w:p>
        </w:tc>
      </w:tr>
      <w:tr>
        <w:tc>
          <w:tcPr>
            <w:tcW w:type="dxa" w:w="2016"/>
            <w:tcMar>
              <w:top w:w="100" w:type="dxa"/>
              <w:start w:w="120" w:type="dxa"/>
              <w:bottom w:w="100" w:type="dxa"/>
              <w:end w:w="120" w:type="dxa"/>
            </w:tcMar>
            <w:vAlign w:val="top"/>
          </w:tcPr>
          <w:p>
            <w:pPr>
              <w:spacing w:after="0"/>
            </w:pPr>
            <w:r>
              <w:rPr>
                <w:sz w:val="18"/>
              </w:rPr>
              <w:t>Operations</w:t>
            </w:r>
          </w:p>
        </w:tc>
        <w:tc>
          <w:tcPr>
            <w:tcW w:type="dxa" w:w="4608"/>
            <w:tcMar>
              <w:top w:w="100" w:type="dxa"/>
              <w:start w:w="120" w:type="dxa"/>
              <w:bottom w:w="100" w:type="dxa"/>
              <w:end w:w="120" w:type="dxa"/>
            </w:tcMar>
            <w:vAlign w:val="top"/>
          </w:tcPr>
          <w:p>
            <w:pPr>
              <w:spacing w:after="0"/>
            </w:pPr>
            <w:r>
              <w:rPr>
                <w:sz w:val="18"/>
              </w:rPr>
              <w:t>SOPs, checklists, scheduling rules, escalation paths, equipment manuals</w:t>
            </w:r>
          </w:p>
        </w:tc>
        <w:tc>
          <w:tcPr>
            <w:tcW w:type="dxa" w:w="3024"/>
            <w:tcMar>
              <w:top w:w="100" w:type="dxa"/>
              <w:start w:w="120" w:type="dxa"/>
              <w:bottom w:w="100" w:type="dxa"/>
              <w:end w:w="120" w:type="dxa"/>
            </w:tcMar>
            <w:vAlign w:val="top"/>
          </w:tcPr>
          <w:p>
            <w:pPr>
              <w:spacing w:after="0"/>
            </w:pPr>
            <w:r>
              <w:rPr>
                <w:sz w:val="18"/>
              </w:rPr>
              <w:t>Operations staff and managers</w:t>
            </w:r>
          </w:p>
        </w:tc>
      </w:tr>
      <w:tr>
        <w:tc>
          <w:tcPr>
            <w:tcW w:type="dxa" w:w="2016"/>
            <w:tcMar>
              <w:top w:w="100" w:type="dxa"/>
              <w:start w:w="120" w:type="dxa"/>
              <w:bottom w:w="100" w:type="dxa"/>
              <w:end w:w="120" w:type="dxa"/>
            </w:tcMar>
            <w:vAlign w:val="top"/>
          </w:tcPr>
          <w:p>
            <w:pPr>
              <w:spacing w:after="0"/>
            </w:pPr>
            <w:r>
              <w:rPr>
                <w:sz w:val="18"/>
              </w:rPr>
              <w:t>Sales and service</w:t>
            </w:r>
          </w:p>
        </w:tc>
        <w:tc>
          <w:tcPr>
            <w:tcW w:type="dxa" w:w="4608"/>
            <w:tcMar>
              <w:top w:w="100" w:type="dxa"/>
              <w:start w:w="120" w:type="dxa"/>
              <w:bottom w:w="100" w:type="dxa"/>
              <w:end w:w="120" w:type="dxa"/>
            </w:tcMar>
            <w:vAlign w:val="top"/>
          </w:tcPr>
          <w:p>
            <w:pPr>
              <w:spacing w:after="0"/>
            </w:pPr>
            <w:r>
              <w:rPr>
                <w:sz w:val="18"/>
              </w:rPr>
              <w:t>Offerings, qualification rules, proposal language, service-area guidance, approved pricing rules</w:t>
            </w:r>
          </w:p>
        </w:tc>
        <w:tc>
          <w:tcPr>
            <w:tcW w:type="dxa" w:w="3024"/>
            <w:tcMar>
              <w:top w:w="100" w:type="dxa"/>
              <w:start w:w="120" w:type="dxa"/>
              <w:bottom w:w="100" w:type="dxa"/>
              <w:end w:w="120" w:type="dxa"/>
            </w:tcMar>
            <w:vAlign w:val="top"/>
          </w:tcPr>
          <w:p>
            <w:pPr>
              <w:spacing w:after="0"/>
            </w:pPr>
            <w:r>
              <w:rPr>
                <w:sz w:val="18"/>
              </w:rPr>
              <w:t>Sales and customer-service teams</w:t>
            </w:r>
          </w:p>
        </w:tc>
      </w:tr>
      <w:tr>
        <w:tc>
          <w:tcPr>
            <w:tcW w:type="dxa" w:w="2016"/>
            <w:tcMar>
              <w:top w:w="100" w:type="dxa"/>
              <w:start w:w="120" w:type="dxa"/>
              <w:bottom w:w="100" w:type="dxa"/>
              <w:end w:w="120" w:type="dxa"/>
            </w:tcMar>
            <w:vAlign w:val="top"/>
          </w:tcPr>
          <w:p>
            <w:pPr>
              <w:spacing w:after="0"/>
            </w:pPr>
            <w:r>
              <w:rPr>
                <w:sz w:val="18"/>
              </w:rPr>
              <w:t>Technical</w:t>
            </w:r>
          </w:p>
        </w:tc>
        <w:tc>
          <w:tcPr>
            <w:tcW w:type="dxa" w:w="4608"/>
            <w:tcMar>
              <w:top w:w="100" w:type="dxa"/>
              <w:start w:w="120" w:type="dxa"/>
              <w:bottom w:w="100" w:type="dxa"/>
              <w:end w:w="120" w:type="dxa"/>
            </w:tcMar>
            <w:vAlign w:val="top"/>
          </w:tcPr>
          <w:p>
            <w:pPr>
              <w:spacing w:after="0"/>
            </w:pPr>
            <w:r>
              <w:rPr>
                <w:sz w:val="18"/>
              </w:rPr>
              <w:t>Troubleshooting guides, diagrams, field notes, product documentation, lessons learned</w:t>
            </w:r>
          </w:p>
        </w:tc>
        <w:tc>
          <w:tcPr>
            <w:tcW w:type="dxa" w:w="3024"/>
            <w:tcMar>
              <w:top w:w="100" w:type="dxa"/>
              <w:start w:w="120" w:type="dxa"/>
              <w:bottom w:w="100" w:type="dxa"/>
              <w:end w:w="120" w:type="dxa"/>
            </w:tcMar>
            <w:vAlign w:val="top"/>
          </w:tcPr>
          <w:p>
            <w:pPr>
              <w:spacing w:after="0"/>
            </w:pPr>
            <w:r>
              <w:rPr>
                <w:sz w:val="18"/>
              </w:rPr>
              <w:t>Technical personnel</w:t>
            </w:r>
          </w:p>
        </w:tc>
      </w:tr>
      <w:tr>
        <w:tc>
          <w:tcPr>
            <w:tcW w:type="dxa" w:w="2016"/>
            <w:tcMar>
              <w:top w:w="100" w:type="dxa"/>
              <w:start w:w="120" w:type="dxa"/>
              <w:bottom w:w="100" w:type="dxa"/>
              <w:end w:w="120" w:type="dxa"/>
            </w:tcMar>
            <w:vAlign w:val="top"/>
          </w:tcPr>
          <w:p>
            <w:pPr>
              <w:spacing w:after="0"/>
            </w:pPr>
            <w:r>
              <w:rPr>
                <w:sz w:val="18"/>
              </w:rPr>
              <w:t>Human resources</w:t>
            </w:r>
          </w:p>
        </w:tc>
        <w:tc>
          <w:tcPr>
            <w:tcW w:type="dxa" w:w="4608"/>
            <w:tcMar>
              <w:top w:w="100" w:type="dxa"/>
              <w:start w:w="120" w:type="dxa"/>
              <w:bottom w:w="100" w:type="dxa"/>
              <w:end w:w="120" w:type="dxa"/>
            </w:tcMar>
            <w:vAlign w:val="top"/>
          </w:tcPr>
          <w:p>
            <w:pPr>
              <w:spacing w:after="0"/>
            </w:pPr>
            <w:r>
              <w:rPr>
                <w:sz w:val="18"/>
              </w:rPr>
              <w:t>Employee relations procedures, manager guidance, confidential templates</w:t>
            </w:r>
          </w:p>
        </w:tc>
        <w:tc>
          <w:tcPr>
            <w:tcW w:type="dxa" w:w="3024"/>
            <w:tcMar>
              <w:top w:w="100" w:type="dxa"/>
              <w:start w:w="120" w:type="dxa"/>
              <w:bottom w:w="100" w:type="dxa"/>
              <w:end w:w="120" w:type="dxa"/>
            </w:tcMar>
            <w:vAlign w:val="top"/>
          </w:tcPr>
          <w:p>
            <w:pPr>
              <w:spacing w:after="0"/>
            </w:pPr>
            <w:r>
              <w:rPr>
                <w:sz w:val="18"/>
              </w:rPr>
              <w:t>HR and approved leadership only</w:t>
            </w:r>
          </w:p>
        </w:tc>
      </w:tr>
      <w:tr>
        <w:tc>
          <w:tcPr>
            <w:tcW w:type="dxa" w:w="2016"/>
            <w:tcMar>
              <w:top w:w="100" w:type="dxa"/>
              <w:start w:w="120" w:type="dxa"/>
              <w:bottom w:w="100" w:type="dxa"/>
              <w:end w:w="120" w:type="dxa"/>
            </w:tcMar>
            <w:vAlign w:val="top"/>
          </w:tcPr>
          <w:p>
            <w:pPr>
              <w:spacing w:after="0"/>
            </w:pPr>
            <w:r>
              <w:rPr>
                <w:sz w:val="18"/>
              </w:rPr>
              <w:t>Finance</w:t>
            </w:r>
          </w:p>
        </w:tc>
        <w:tc>
          <w:tcPr>
            <w:tcW w:type="dxa" w:w="4608"/>
            <w:tcMar>
              <w:top w:w="100" w:type="dxa"/>
              <w:start w:w="120" w:type="dxa"/>
              <w:bottom w:w="100" w:type="dxa"/>
              <w:end w:w="120" w:type="dxa"/>
            </w:tcMar>
            <w:vAlign w:val="top"/>
          </w:tcPr>
          <w:p>
            <w:pPr>
              <w:spacing w:after="0"/>
            </w:pPr>
            <w:r>
              <w:rPr>
                <w:sz w:val="18"/>
              </w:rPr>
              <w:t>Accounting procedures, vendor records, budgets, internal financial policy</w:t>
            </w:r>
          </w:p>
        </w:tc>
        <w:tc>
          <w:tcPr>
            <w:tcW w:type="dxa" w:w="3024"/>
            <w:tcMar>
              <w:top w:w="100" w:type="dxa"/>
              <w:start w:w="120" w:type="dxa"/>
              <w:bottom w:w="100" w:type="dxa"/>
              <w:end w:w="120" w:type="dxa"/>
            </w:tcMar>
            <w:vAlign w:val="top"/>
          </w:tcPr>
          <w:p>
            <w:pPr>
              <w:spacing w:after="0"/>
            </w:pPr>
            <w:r>
              <w:rPr>
                <w:sz w:val="18"/>
              </w:rPr>
              <w:t>Finance and approved executives</w:t>
            </w:r>
          </w:p>
        </w:tc>
      </w:tr>
      <w:tr>
        <w:tc>
          <w:tcPr>
            <w:tcW w:type="dxa" w:w="2016"/>
            <w:tcMar>
              <w:top w:w="100" w:type="dxa"/>
              <w:start w:w="120" w:type="dxa"/>
              <w:bottom w:w="100" w:type="dxa"/>
              <w:end w:w="120" w:type="dxa"/>
            </w:tcMar>
            <w:vAlign w:val="top"/>
          </w:tcPr>
          <w:p>
            <w:pPr>
              <w:spacing w:after="0"/>
            </w:pPr>
            <w:r>
              <w:rPr>
                <w:sz w:val="18"/>
              </w:rPr>
              <w:t>Executive and legal</w:t>
            </w:r>
          </w:p>
        </w:tc>
        <w:tc>
          <w:tcPr>
            <w:tcW w:type="dxa" w:w="4608"/>
            <w:tcMar>
              <w:top w:w="100" w:type="dxa"/>
              <w:start w:w="120" w:type="dxa"/>
              <w:bottom w:w="100" w:type="dxa"/>
              <w:end w:w="120" w:type="dxa"/>
            </w:tcMar>
            <w:vAlign w:val="top"/>
          </w:tcPr>
          <w:p>
            <w:pPr>
              <w:spacing w:after="0"/>
            </w:pPr>
            <w:r>
              <w:rPr>
                <w:sz w:val="18"/>
              </w:rPr>
              <w:t>Board materials, legal strategy, transactions, confidential planning</w:t>
            </w:r>
          </w:p>
        </w:tc>
        <w:tc>
          <w:tcPr>
            <w:tcW w:type="dxa" w:w="3024"/>
            <w:tcMar>
              <w:top w:w="100" w:type="dxa"/>
              <w:start w:w="120" w:type="dxa"/>
              <w:bottom w:w="100" w:type="dxa"/>
              <w:end w:w="120" w:type="dxa"/>
            </w:tcMar>
            <w:vAlign w:val="top"/>
          </w:tcPr>
          <w:p>
            <w:pPr>
              <w:spacing w:after="0"/>
            </w:pPr>
            <w:r>
              <w:rPr>
                <w:sz w:val="18"/>
              </w:rPr>
              <w:t>Explicitly named users only</w:t>
            </w:r>
          </w:p>
        </w:tc>
      </w:tr>
      <w:tr>
        <w:tc>
          <w:tcPr>
            <w:tcW w:type="dxa" w:w="2016"/>
            <w:tcMar>
              <w:top w:w="100" w:type="dxa"/>
              <w:start w:w="120" w:type="dxa"/>
              <w:bottom w:w="100" w:type="dxa"/>
              <w:end w:w="120" w:type="dxa"/>
            </w:tcMar>
            <w:vAlign w:val="top"/>
          </w:tcPr>
          <w:p>
            <w:pPr>
              <w:spacing w:after="0"/>
            </w:pPr>
            <w:r>
              <w:rPr>
                <w:sz w:val="18"/>
              </w:rPr>
              <w:t>Public website</w:t>
            </w:r>
          </w:p>
        </w:tc>
        <w:tc>
          <w:tcPr>
            <w:tcW w:type="dxa" w:w="4608"/>
            <w:tcMar>
              <w:top w:w="100" w:type="dxa"/>
              <w:start w:w="120" w:type="dxa"/>
              <w:bottom w:w="100" w:type="dxa"/>
              <w:end w:w="120" w:type="dxa"/>
            </w:tcMar>
            <w:vAlign w:val="top"/>
          </w:tcPr>
          <w:p>
            <w:pPr>
              <w:spacing w:after="0"/>
            </w:pPr>
            <w:r>
              <w:rPr>
                <w:sz w:val="18"/>
              </w:rPr>
              <w:t>Services, hours, public FAQs, service areas, case studies, contact paths</w:t>
            </w:r>
          </w:p>
        </w:tc>
        <w:tc>
          <w:tcPr>
            <w:tcW w:type="dxa" w:w="3024"/>
            <w:tcMar>
              <w:top w:w="100" w:type="dxa"/>
              <w:start w:w="120" w:type="dxa"/>
              <w:bottom w:w="100" w:type="dxa"/>
              <w:end w:w="120" w:type="dxa"/>
            </w:tcMar>
            <w:vAlign w:val="top"/>
          </w:tcPr>
          <w:p>
            <w:pPr>
              <w:spacing w:after="0"/>
            </w:pPr>
            <w:r>
              <w:rPr>
                <w:sz w:val="18"/>
              </w:rPr>
              <w:t>Anonymous public users</w:t>
            </w:r>
          </w:p>
        </w:tc>
      </w:tr>
    </w:tbl>
    <w:p>
      <w:pPr>
        <w:spacing w:after="0"/>
      </w:pPr>
    </w:p>
    <w:p>
      <w:pPr>
        <w:pStyle w:val="Heading2"/>
        <w:keepNext/>
        <w:pageBreakBefore w:val="0"/>
      </w:pPr>
      <w:r>
        <w:t>2.3 Content preparation</w:t>
      </w:r>
    </w:p>
    <w:p>
      <w:r>
        <w:t>AI quality depends on source quality. Pixeldust inventories existing content, interviews subject-matter experts, converts unwritten procedures into usable documents, removes duplicates, identifies obsolete material, assigns authoritative versions, and creates review schedules. The AI layer should not be expected to repair uncontrolled information automatically.</w:t>
      </w:r>
    </w:p>
    <w:p>
      <w:pPr>
        <w:pStyle w:val="Heading1"/>
        <w:keepNext/>
        <w:pageBreakBefore/>
      </w:pPr>
      <w:r>
        <w:t>3. Identity, Permissions, and Security Trimming</w:t>
      </w:r>
    </w:p>
    <w:p>
      <w:pPr>
        <w:pStyle w:val="Heading2"/>
        <w:keepNext/>
        <w:pageBreakBefore w:val="0"/>
      </w:pPr>
      <w:r>
        <w:t>3.1 Workspace-native access</w:t>
      </w:r>
    </w:p>
    <w:p>
      <w:r>
        <w:t>Gemini access to Google Workspace data is controlled by both administrators and content owners. In Workspace experiences, Gemini generally receives the same access to supported Workspace data as the signed-in user. A user can only retrieve a Drive file that has been shared with that user, subject to applicable product limitations and administrative settings.</w:t>
      </w:r>
    </w:p>
    <w:p>
      <w:pPr>
        <w:pStyle w:val="Heading2"/>
        <w:keepNext/>
        <w:pageBreakBefore w:val="0"/>
      </w:pPr>
      <w:r>
        <w:t>3.2 Group-based permissions</w:t>
      </w:r>
    </w:p>
    <w:p>
      <w:r>
        <w:t>Google Groups should represent departments and roles such as All Employees, Field Technicians, Sales, HR, Finance, and Executives. Shared Drives and folders are granted to these groups. When a user changes roles, administrators change group membership instead of editing hundreds of individual files.</w:t>
      </w:r>
    </w:p>
    <w:p>
      <w:pPr>
        <w:pStyle w:val="Heading2"/>
        <w:keepNext/>
        <w:pageBreakBefore w:val="0"/>
      </w:pPr>
      <w:r>
        <w:t>3.3 Custom agent access</w:t>
      </w:r>
    </w:p>
    <w:p>
      <w:r>
        <w:t>A custom Google Cloud agent has two separate permission questions: who may call the agent, and what data the agent may retrieve. IAM controls access to the agent and cloud resources. Retrieval must then enforce end-user identity, document-level access controls, or a deliberately shared service identity. A service account with broad access must not be mistaken for user-level security trimming.</w:t>
      </w:r>
    </w:p>
    <w:tbl>
      <w:tblPr>
        <w:tblW w:type="auto" w:w="0"/>
        <w:jc w:val="center"/>
        <w:tblLayout w:type="fixed"/>
        <w:tblLook w:firstColumn="1" w:firstRow="1" w:lastColumn="0" w:lastRow="0" w:noHBand="0" w:noVBand="1" w:val="04A0"/>
      </w:tblPr>
      <w:tblGrid>
        <w:gridCol w:w="9648"/>
      </w:tblGrid>
      <w:tr>
        <w:tc>
          <w:tcPr>
            <w:tcW w:type="dxa" w:w="9936"/>
            <w:shd w:fill="EAF2FF"/>
            <w:tcMar>
              <w:top w:w="160" w:type="dxa"/>
              <w:start w:w="180" w:type="dxa"/>
              <w:bottom w:w="160" w:type="dxa"/>
              <w:end w:w="180" w:type="dxa"/>
            </w:tcMar>
          </w:tcPr>
          <w:p>
            <w:pPr>
              <w:spacing w:after="80"/>
            </w:pPr>
            <w:r>
              <w:rPr>
                <w:b/>
                <w:color w:val="1A428C"/>
              </w:rPr>
              <w:t>Critical distinction</w:t>
            </w:r>
          </w:p>
          <w:p>
            <w:pPr>
              <w:spacing w:after="0"/>
            </w:pPr>
            <w:r>
              <w:t>If a custom agent indexes documents with one powerful service account but does not preserve document access-control lists, every authorized application user may receive information from the entire index. Permission-aware retrieval must be designed and tested explicitly.</w:t>
            </w:r>
          </w:p>
        </w:tc>
      </w:tr>
    </w:tbl>
    <w:p>
      <w:pPr>
        <w:spacing w:after="0"/>
      </w:pPr>
    </w:p>
    <w:p>
      <w:pPr>
        <w:pStyle w:val="Heading2"/>
        <w:keepNext/>
        <w:pageBreakBefore w:val="0"/>
      </w:pPr>
      <w:r>
        <w:t>3.4 Permission examples</w:t>
      </w:r>
    </w:p>
    <w:tbl>
      <w:tblPr>
        <w:tblStyle w:val="TableGrid"/>
        <w:tblW w:type="auto" w:w="0"/>
        <w:jc w:val="center"/>
        <w:tblLook w:firstColumn="1" w:firstRow="1" w:lastColumn="0" w:lastRow="0" w:noHBand="0" w:noVBand="1" w:val="04A0"/>
      </w:tblPr>
      <w:tblGrid>
        <w:gridCol w:w="2484"/>
        <w:gridCol w:w="2484"/>
        <w:gridCol w:w="2484"/>
        <w:gridCol w:w="2484"/>
      </w:tblGrid>
      <w:tr>
        <w:trPr>
          <w:tblHeader w:val="true"/>
        </w:trPr>
        <w:tc>
          <w:tcPr>
            <w:tcW w:type="dxa" w:w="2880"/>
            <w:shd w:fill="17365D"/>
            <w:tcMar>
              <w:top w:w="100" w:type="dxa"/>
              <w:start w:w="120" w:type="dxa"/>
              <w:bottom w:w="100" w:type="dxa"/>
              <w:end w:w="120" w:type="dxa"/>
            </w:tcMar>
          </w:tcPr>
          <w:p>
            <w:pPr>
              <w:jc w:val="left"/>
            </w:pPr>
            <w:r>
              <w:rPr>
                <w:b/>
                <w:color w:val="FFFFFF"/>
                <w:sz w:val="18"/>
              </w:rPr>
              <w:t>Question</w:t>
            </w:r>
          </w:p>
        </w:tc>
        <w:tc>
          <w:tcPr>
            <w:tcW w:type="dxa" w:w="2304"/>
            <w:shd w:fill="17365D"/>
            <w:tcMar>
              <w:top w:w="100" w:type="dxa"/>
              <w:start w:w="120" w:type="dxa"/>
              <w:bottom w:w="100" w:type="dxa"/>
              <w:end w:w="120" w:type="dxa"/>
            </w:tcMar>
          </w:tcPr>
          <w:p>
            <w:pPr>
              <w:jc w:val="left"/>
            </w:pPr>
            <w:r>
              <w:rPr>
                <w:b/>
                <w:color w:val="FFFFFF"/>
                <w:sz w:val="18"/>
              </w:rPr>
              <w:t>Employee result</w:t>
            </w:r>
          </w:p>
        </w:tc>
        <w:tc>
          <w:tcPr>
            <w:tcW w:type="dxa" w:w="2304"/>
            <w:shd w:fill="17365D"/>
            <w:tcMar>
              <w:top w:w="100" w:type="dxa"/>
              <w:start w:w="120" w:type="dxa"/>
              <w:bottom w:w="100" w:type="dxa"/>
              <w:end w:w="120" w:type="dxa"/>
            </w:tcMar>
          </w:tcPr>
          <w:p>
            <w:pPr>
              <w:jc w:val="left"/>
            </w:pPr>
            <w:r>
              <w:rPr>
                <w:b/>
                <w:color w:val="FFFFFF"/>
                <w:sz w:val="18"/>
              </w:rPr>
              <w:t>Manager result</w:t>
            </w:r>
          </w:p>
        </w:tc>
        <w:tc>
          <w:tcPr>
            <w:tcW w:type="dxa" w:w="2304"/>
            <w:shd w:fill="17365D"/>
            <w:tcMar>
              <w:top w:w="100" w:type="dxa"/>
              <w:start w:w="120" w:type="dxa"/>
              <w:bottom w:w="100" w:type="dxa"/>
              <w:end w:w="120" w:type="dxa"/>
            </w:tcMar>
          </w:tcPr>
          <w:p>
            <w:pPr>
              <w:jc w:val="left"/>
            </w:pPr>
            <w:r>
              <w:rPr>
                <w:b/>
                <w:color w:val="FFFFFF"/>
                <w:sz w:val="18"/>
              </w:rPr>
              <w:t>HR result</w:t>
            </w:r>
          </w:p>
        </w:tc>
      </w:tr>
      <w:tr>
        <w:tc>
          <w:tcPr>
            <w:tcW w:type="dxa" w:w="2880"/>
            <w:tcMar>
              <w:top w:w="100" w:type="dxa"/>
              <w:start w:w="120" w:type="dxa"/>
              <w:bottom w:w="100" w:type="dxa"/>
              <w:end w:w="120" w:type="dxa"/>
            </w:tcMar>
            <w:vAlign w:val="top"/>
          </w:tcPr>
          <w:p>
            <w:pPr>
              <w:spacing w:after="0"/>
            </w:pPr>
            <w:r>
              <w:rPr>
                <w:sz w:val="18"/>
              </w:rPr>
              <w:t>“What is our overtime approval process?”</w:t>
            </w:r>
          </w:p>
        </w:tc>
        <w:tc>
          <w:tcPr>
            <w:tcW w:type="dxa" w:w="2304"/>
            <w:tcMar>
              <w:top w:w="100" w:type="dxa"/>
              <w:start w:w="120" w:type="dxa"/>
              <w:bottom w:w="100" w:type="dxa"/>
              <w:end w:w="120" w:type="dxa"/>
            </w:tcMar>
            <w:vAlign w:val="top"/>
          </w:tcPr>
          <w:p>
            <w:pPr>
              <w:spacing w:after="0"/>
            </w:pPr>
            <w:r>
              <w:rPr>
                <w:sz w:val="18"/>
              </w:rPr>
              <w:t>Receives the public employee procedure.</w:t>
            </w:r>
          </w:p>
        </w:tc>
        <w:tc>
          <w:tcPr>
            <w:tcW w:type="dxa" w:w="2304"/>
            <w:tcMar>
              <w:top w:w="100" w:type="dxa"/>
              <w:start w:w="120" w:type="dxa"/>
              <w:bottom w:w="100" w:type="dxa"/>
              <w:end w:w="120" w:type="dxa"/>
            </w:tcMar>
            <w:vAlign w:val="top"/>
          </w:tcPr>
          <w:p>
            <w:pPr>
              <w:spacing w:after="0"/>
            </w:pPr>
            <w:r>
              <w:rPr>
                <w:sz w:val="18"/>
              </w:rPr>
              <w:t>Receives the employee procedure plus manager approval steps if authorized.</w:t>
            </w:r>
          </w:p>
        </w:tc>
        <w:tc>
          <w:tcPr>
            <w:tcW w:type="dxa" w:w="2304"/>
            <w:tcMar>
              <w:top w:w="100" w:type="dxa"/>
              <w:start w:w="120" w:type="dxa"/>
              <w:bottom w:w="100" w:type="dxa"/>
              <w:end w:w="120" w:type="dxa"/>
            </w:tcMar>
            <w:vAlign w:val="top"/>
          </w:tcPr>
          <w:p>
            <w:pPr>
              <w:spacing w:after="0"/>
            </w:pPr>
            <w:r>
              <w:rPr>
                <w:sz w:val="18"/>
              </w:rPr>
              <w:t>Receives HR administration guidance if authorized.</w:t>
            </w:r>
          </w:p>
        </w:tc>
      </w:tr>
      <w:tr>
        <w:tc>
          <w:tcPr>
            <w:tcW w:type="dxa" w:w="2880"/>
            <w:tcMar>
              <w:top w:w="100" w:type="dxa"/>
              <w:start w:w="120" w:type="dxa"/>
              <w:bottom w:w="100" w:type="dxa"/>
              <w:end w:w="120" w:type="dxa"/>
            </w:tcMar>
            <w:vAlign w:val="top"/>
          </w:tcPr>
          <w:p>
            <w:pPr>
              <w:spacing w:after="0"/>
            </w:pPr>
            <w:r>
              <w:rPr>
                <w:sz w:val="18"/>
              </w:rPr>
              <w:t>“Show me salary adjustment guidance.”</w:t>
            </w:r>
          </w:p>
        </w:tc>
        <w:tc>
          <w:tcPr>
            <w:tcW w:type="dxa" w:w="2304"/>
            <w:tcMar>
              <w:top w:w="100" w:type="dxa"/>
              <w:start w:w="120" w:type="dxa"/>
              <w:bottom w:w="100" w:type="dxa"/>
              <w:end w:w="120" w:type="dxa"/>
            </w:tcMar>
            <w:vAlign w:val="top"/>
          </w:tcPr>
          <w:p>
            <w:pPr>
              <w:spacing w:after="0"/>
            </w:pPr>
            <w:r>
              <w:rPr>
                <w:sz w:val="18"/>
              </w:rPr>
              <w:t>No answer from restricted sources.</w:t>
            </w:r>
          </w:p>
        </w:tc>
        <w:tc>
          <w:tcPr>
            <w:tcW w:type="dxa" w:w="2304"/>
            <w:tcMar>
              <w:top w:w="100" w:type="dxa"/>
              <w:start w:w="120" w:type="dxa"/>
              <w:bottom w:w="100" w:type="dxa"/>
              <w:end w:w="120" w:type="dxa"/>
            </w:tcMar>
            <w:vAlign w:val="top"/>
          </w:tcPr>
          <w:p>
            <w:pPr>
              <w:spacing w:after="0"/>
            </w:pPr>
            <w:r>
              <w:rPr>
                <w:sz w:val="18"/>
              </w:rPr>
              <w:t>May receive manager guidance if the manager group is approved.</w:t>
            </w:r>
          </w:p>
        </w:tc>
        <w:tc>
          <w:tcPr>
            <w:tcW w:type="dxa" w:w="2304"/>
            <w:tcMar>
              <w:top w:w="100" w:type="dxa"/>
              <w:start w:w="120" w:type="dxa"/>
              <w:bottom w:w="100" w:type="dxa"/>
              <w:end w:w="120" w:type="dxa"/>
            </w:tcMar>
            <w:vAlign w:val="top"/>
          </w:tcPr>
          <w:p>
            <w:pPr>
              <w:spacing w:after="0"/>
            </w:pPr>
            <w:r>
              <w:rPr>
                <w:sz w:val="18"/>
              </w:rPr>
              <w:t>Receives the full HR procedure and controlled templates.</w:t>
            </w:r>
          </w:p>
        </w:tc>
      </w:tr>
      <w:tr>
        <w:tc>
          <w:tcPr>
            <w:tcW w:type="dxa" w:w="2880"/>
            <w:tcMar>
              <w:top w:w="100" w:type="dxa"/>
              <w:start w:w="120" w:type="dxa"/>
              <w:bottom w:w="100" w:type="dxa"/>
              <w:end w:w="120" w:type="dxa"/>
            </w:tcMar>
            <w:vAlign w:val="top"/>
          </w:tcPr>
          <w:p>
            <w:pPr>
              <w:spacing w:after="0"/>
            </w:pPr>
            <w:r>
              <w:rPr>
                <w:sz w:val="18"/>
              </w:rPr>
              <w:t>“What did the board approve?”</w:t>
            </w:r>
          </w:p>
        </w:tc>
        <w:tc>
          <w:tcPr>
            <w:tcW w:type="dxa" w:w="2304"/>
            <w:tcMar>
              <w:top w:w="100" w:type="dxa"/>
              <w:start w:w="120" w:type="dxa"/>
              <w:bottom w:w="100" w:type="dxa"/>
              <w:end w:w="120" w:type="dxa"/>
            </w:tcMar>
            <w:vAlign w:val="top"/>
          </w:tcPr>
          <w:p>
            <w:pPr>
              <w:spacing w:after="0"/>
            </w:pPr>
            <w:r>
              <w:rPr>
                <w:sz w:val="18"/>
              </w:rPr>
              <w:t>Receives no confidential board content.</w:t>
            </w:r>
          </w:p>
        </w:tc>
        <w:tc>
          <w:tcPr>
            <w:tcW w:type="dxa" w:w="2304"/>
            <w:tcMar>
              <w:top w:w="100" w:type="dxa"/>
              <w:start w:w="120" w:type="dxa"/>
              <w:bottom w:w="100" w:type="dxa"/>
              <w:end w:w="120" w:type="dxa"/>
            </w:tcMar>
            <w:vAlign w:val="top"/>
          </w:tcPr>
          <w:p>
            <w:pPr>
              <w:spacing w:after="0"/>
            </w:pPr>
            <w:r>
              <w:rPr>
                <w:sz w:val="18"/>
              </w:rPr>
              <w:t>Receives only materials separately shared with management.</w:t>
            </w:r>
          </w:p>
        </w:tc>
        <w:tc>
          <w:tcPr>
            <w:tcW w:type="dxa" w:w="2304"/>
            <w:tcMar>
              <w:top w:w="100" w:type="dxa"/>
              <w:start w:w="120" w:type="dxa"/>
              <w:bottom w:w="100" w:type="dxa"/>
              <w:end w:w="120" w:type="dxa"/>
            </w:tcMar>
            <w:vAlign w:val="top"/>
          </w:tcPr>
          <w:p>
            <w:pPr>
              <w:spacing w:after="0"/>
            </w:pPr>
            <w:r>
              <w:rPr>
                <w:sz w:val="18"/>
              </w:rPr>
              <w:t>Receives nothing unless HR is explicitly granted access to the board domain.</w:t>
            </w:r>
          </w:p>
        </w:tc>
      </w:tr>
      <w:tr>
        <w:tc>
          <w:tcPr>
            <w:tcW w:type="dxa" w:w="2880"/>
            <w:tcMar>
              <w:top w:w="100" w:type="dxa"/>
              <w:start w:w="120" w:type="dxa"/>
              <w:bottom w:w="100" w:type="dxa"/>
              <w:end w:w="120" w:type="dxa"/>
            </w:tcMar>
            <w:vAlign w:val="top"/>
          </w:tcPr>
          <w:p>
            <w:pPr>
              <w:spacing w:after="0"/>
            </w:pPr>
            <w:r>
              <w:rPr>
                <w:sz w:val="18"/>
              </w:rPr>
              <w:t>“How do I troubleshoot this equipment?”</w:t>
            </w:r>
          </w:p>
        </w:tc>
        <w:tc>
          <w:tcPr>
            <w:tcW w:type="dxa" w:w="2304"/>
            <w:tcMar>
              <w:top w:w="100" w:type="dxa"/>
              <w:start w:w="120" w:type="dxa"/>
              <w:bottom w:w="100" w:type="dxa"/>
              <w:end w:w="120" w:type="dxa"/>
            </w:tcMar>
            <w:vAlign w:val="top"/>
          </w:tcPr>
          <w:p>
            <w:pPr>
              <w:spacing w:after="0"/>
            </w:pPr>
            <w:r>
              <w:rPr>
                <w:sz w:val="18"/>
              </w:rPr>
              <w:t>Receives technical instructions assigned to the technician group.</w:t>
            </w:r>
          </w:p>
        </w:tc>
        <w:tc>
          <w:tcPr>
            <w:tcW w:type="dxa" w:w="2304"/>
            <w:tcMar>
              <w:top w:w="100" w:type="dxa"/>
              <w:start w:w="120" w:type="dxa"/>
              <w:bottom w:w="100" w:type="dxa"/>
              <w:end w:w="120" w:type="dxa"/>
            </w:tcMar>
            <w:vAlign w:val="top"/>
          </w:tcPr>
          <w:p>
            <w:pPr>
              <w:spacing w:after="0"/>
            </w:pPr>
            <w:r>
              <w:rPr>
                <w:sz w:val="18"/>
              </w:rPr>
              <w:t>Receives the same instructions plus escalation and cost-authority rules.</w:t>
            </w:r>
          </w:p>
        </w:tc>
        <w:tc>
          <w:tcPr>
            <w:tcW w:type="dxa" w:w="2304"/>
            <w:tcMar>
              <w:top w:w="100" w:type="dxa"/>
              <w:start w:w="120" w:type="dxa"/>
              <w:bottom w:w="100" w:type="dxa"/>
              <w:end w:w="120" w:type="dxa"/>
            </w:tcMar>
            <w:vAlign w:val="top"/>
          </w:tcPr>
          <w:p>
            <w:pPr>
              <w:spacing w:after="0"/>
            </w:pPr>
            <w:r>
              <w:rPr>
                <w:sz w:val="18"/>
              </w:rPr>
              <w:t>Receives no technical content unless separately authorized.</w:t>
            </w:r>
          </w:p>
        </w:tc>
      </w:tr>
    </w:tbl>
    <w:p>
      <w:pPr>
        <w:spacing w:after="0"/>
      </w:pPr>
    </w:p>
    <w:p>
      <w:pPr>
        <w:pStyle w:val="Heading1"/>
        <w:keepNext/>
        <w:pageBreakBefore/>
      </w:pPr>
      <w:r>
        <w:t>4. Google AI Experience Options</w:t>
      </w:r>
    </w:p>
    <w:p>
      <w:pPr>
        <w:pStyle w:val="Heading2"/>
        <w:keepNext/>
        <w:pageBreakBefore w:val="0"/>
      </w:pPr>
      <w:r>
        <w:t>4.1 Gemini in Google Workspace</w:t>
      </w:r>
    </w:p>
    <w:p>
      <w:r>
        <w:t>Gemini in Gmail, Docs, Drive, Sheets, Slides, Meet, and the Gemini app can help employees summarize, draft, locate, and work with organizational information. This is the lowest-friction option because it fits the tools employees already use. Admins can control access to Gemini and connected Workspace apps by organizational unit or group.</w:t>
      </w:r>
    </w:p>
    <w:p>
      <w:r>
        <w:t>This option is best for personal productivity and broad Workspace assistance. It is not always the best choice when the organization requires a branded, tightly scripted agent that must answer only from one curated domain.</w:t>
      </w:r>
    </w:p>
    <w:p>
      <w:pPr>
        <w:pStyle w:val="Heading2"/>
        <w:keepNext/>
        <w:pageBreakBefore w:val="0"/>
      </w:pPr>
      <w:r>
        <w:t>4.2 NotebookLM</w:t>
      </w:r>
    </w:p>
    <w:p>
      <w:r>
        <w:t>NotebookLM creates source-grounded workspaces around selected documents. Each notebook is independent and can serve a defined domain such as onboarding, a product line, an operating manual, a nonprofit program, or a major project. NotebookLM is designed to answer from the sources placed in the notebook and provides citations back to those sources.</w:t>
      </w:r>
    </w:p>
    <w:p>
      <w:pPr>
        <w:pStyle w:val="ListBullet"/>
        <w:spacing w:after="60"/>
      </w:pPr>
      <w:r>
        <w:t>Use one notebook per clear knowledge domain or project.</w:t>
      </w:r>
    </w:p>
    <w:p>
      <w:pPr>
        <w:pStyle w:val="ListBullet"/>
        <w:spacing w:after="60"/>
      </w:pPr>
      <w:r>
        <w:t>Treat notebook sharing as a separate permission decision; do not assume that every notebook collaborator should receive every source.</w:t>
      </w:r>
    </w:p>
    <w:p>
      <w:pPr>
        <w:pStyle w:val="ListBullet"/>
        <w:spacing w:after="60"/>
      </w:pPr>
      <w:r>
        <w:t>Use qualifying Workspace or NotebookLM Enterprise licensing for organizational data and enterprise protections.</w:t>
      </w:r>
    </w:p>
    <w:p>
      <w:pPr>
        <w:pStyle w:val="ListBullet"/>
        <w:spacing w:after="60"/>
      </w:pPr>
      <w:r>
        <w:t>Use NotebookLM primarily for research, training, synthesis, onboarding, and controlled source-grounded Q&amp;A—not as the only enterprise-wide permission architecture.</w:t>
      </w:r>
    </w:p>
    <w:p>
      <w:pPr>
        <w:pStyle w:val="Heading2"/>
        <w:keepNext/>
        <w:pageBreakBefore w:val="0"/>
      </w:pPr>
      <w:r>
        <w:t>4.3 Gemini Enterprise</w:t>
      </w:r>
    </w:p>
    <w:p>
      <w:r>
        <w:t>Gemini Enterprise provides an enterprise search and agent experience across Google data and supported third-party systems. Connectors can search Drive, Gmail, Calendar, Chat, Sites, and other repositories. Enterprise editions can enforce identity and document-level access controls so search, assistant responses, and agents return content only to authorized users.</w:t>
      </w:r>
    </w:p>
    <w:p>
      <w:r>
        <w:t>This is the closest Google equivalent to an organization-wide employee knowledge assistant when the goal is permission-aware search across multiple business systems without building the entire user interface from scratch.</w:t>
      </w:r>
    </w:p>
    <w:p>
      <w:pPr>
        <w:pStyle w:val="Heading2"/>
        <w:keepNext/>
        <w:pageBreakBefore w:val="0"/>
      </w:pPr>
      <w:r>
        <w:t>4.4 Vertex AI custom agents</w:t>
      </w:r>
    </w:p>
    <w:p>
      <w:r>
        <w:t>Vertex AI Agent Builder is used when the organization needs custom instructions, workflows, integrations, approval steps, website embedding, API access, branded interfaces, multi-agent orchestration, or specialized security controls. Agents can be developed with the Agent Development Kit, deployed on Agent Engine, and connected to approved search data stores and business systems.</w:t>
      </w:r>
    </w:p>
    <w:p>
      <w:pPr>
        <w:pStyle w:val="Heading1"/>
        <w:keepNext/>
        <w:pageBreakBefore/>
      </w:pPr>
      <w:r>
        <w:t>5. Restricting Agents to Approved Organizational Knowledge</w:t>
      </w:r>
    </w:p>
    <w:p>
      <w:pPr>
        <w:pStyle w:val="Heading2"/>
        <w:keepNext/>
        <w:pageBreakBefore w:val="0"/>
      </w:pPr>
      <w:r>
        <w:t>5.1 Retrieval-augmented generation</w:t>
      </w:r>
    </w:p>
    <w:p>
      <w:r>
        <w:t>The production pattern is retrieval-augmented generation. The system searches an approved data store, retrieves the most relevant passages, and provides those passages to the Gemini model as context. The model produces a readable answer from that context rather than treating the open internet as the company’s source of truth.</w:t>
      </w:r>
    </w:p>
    <w:p>
      <w:pPr>
        <w:pStyle w:val="Heading2"/>
        <w:keepNext/>
        <w:pageBreakBefore w:val="0"/>
      </w:pPr>
      <w:r>
        <w:t>5.2 Grounded-only operating rules</w:t>
      </w:r>
    </w:p>
    <w:p>
      <w:pPr>
        <w:pStyle w:val="ListBullet"/>
        <w:spacing w:after="60"/>
      </w:pPr>
      <w:r>
        <w:t>Connect each agent only to named Shared Drives, folders, websites, databases, or enterprise connectors.</w:t>
      </w:r>
    </w:p>
    <w:p>
      <w:pPr>
        <w:pStyle w:val="ListBullet"/>
        <w:spacing w:after="60"/>
      </w:pPr>
      <w:r>
        <w:t>Disable web grounding and external search for internal policy and procedure agents unless a documented use case requires it.</w:t>
      </w:r>
    </w:p>
    <w:p>
      <w:pPr>
        <w:pStyle w:val="ListBullet"/>
        <w:spacing w:after="60"/>
      </w:pPr>
      <w:r>
        <w:t>Instruct the agent to answer only when the approved sources contain sufficient support.</w:t>
      </w:r>
    </w:p>
    <w:p>
      <w:pPr>
        <w:pStyle w:val="ListBullet"/>
        <w:spacing w:after="60"/>
      </w:pPr>
      <w:r>
        <w:t>Require the agent to state that the answer is not available when sources are missing or conflicting.</w:t>
      </w:r>
    </w:p>
    <w:p>
      <w:pPr>
        <w:pStyle w:val="ListBullet"/>
        <w:spacing w:after="60"/>
      </w:pPr>
      <w:r>
        <w:t>Return citations, source titles, document links, or trace identifiers where the selected product supports them.</w:t>
      </w:r>
    </w:p>
    <w:p>
      <w:pPr>
        <w:pStyle w:val="ListBullet"/>
        <w:spacing w:after="60"/>
      </w:pPr>
      <w:r>
        <w:t>Define which source outranks another when multiple policies conflict.</w:t>
      </w:r>
    </w:p>
    <w:p>
      <w:pPr>
        <w:pStyle w:val="ListBullet"/>
        <w:spacing w:after="60"/>
      </w:pPr>
      <w:r>
        <w:t>Prevent tools that write, send, approve, purchase, delete, or modify records unless the workflow includes explicit authorization and confirmation.</w:t>
      </w:r>
    </w:p>
    <w:tbl>
      <w:tblPr>
        <w:tblW w:type="auto" w:w="0"/>
        <w:jc w:val="center"/>
        <w:tblLayout w:type="fixed"/>
        <w:tblLook w:firstColumn="1" w:firstRow="1" w:lastColumn="0" w:lastRow="0" w:noHBand="0" w:noVBand="1" w:val="04A0"/>
      </w:tblPr>
      <w:tblGrid>
        <w:gridCol w:w="9648"/>
      </w:tblGrid>
      <w:tr>
        <w:tc>
          <w:tcPr>
            <w:tcW w:type="dxa" w:w="9936"/>
            <w:shd w:fill="EAF2FF"/>
            <w:tcMar>
              <w:top w:w="160" w:type="dxa"/>
              <w:start w:w="180" w:type="dxa"/>
              <w:bottom w:w="160" w:type="dxa"/>
              <w:end w:w="180" w:type="dxa"/>
            </w:tcMar>
          </w:tcPr>
          <w:p>
            <w:pPr>
              <w:spacing w:after="80"/>
            </w:pPr>
            <w:r>
              <w:rPr>
                <w:b/>
                <w:color w:val="1A428C"/>
              </w:rPr>
              <w:t>Honest terminology</w:t>
            </w:r>
          </w:p>
          <w:p>
            <w:pPr>
              <w:spacing w:after="0"/>
            </w:pPr>
            <w:r>
              <w:t>The Gemini model still has general pretraining. “Internal knowledge only” means the deployed agent is configured to use approved sources for factual organizational answers and to refuse unsupported questions. It does not mean the underlying language model has never learned general language or world knowledge.</w:t>
            </w:r>
          </w:p>
        </w:tc>
      </w:tr>
    </w:tbl>
    <w:p>
      <w:pPr>
        <w:spacing w:after="0"/>
      </w:pPr>
    </w:p>
    <w:p>
      <w:pPr>
        <w:pStyle w:val="Heading1"/>
        <w:keepNext/>
        <w:pageBreakBefore/>
      </w:pPr>
      <w:r>
        <w:t>6. Data Privacy, Model Training, and Isolation</w:t>
      </w:r>
    </w:p>
    <w:p>
      <w:pPr>
        <w:pStyle w:val="Heading2"/>
        <w:keepNext/>
        <w:pageBreakBefore w:val="0"/>
      </w:pPr>
      <w:r>
        <w:t>6.1 Enterprise data protections</w:t>
      </w:r>
    </w:p>
    <w:p>
      <w:r>
        <w:t>Google states that qualifying Google Workspace Gemini services provide enterprise-grade protections: submissions are not used to train shared models and are not reviewed by humans; interactions remain within the organization; and existing Workspace controls such as data regions and data loss prevention continue to apply. Google Cloud similarly states that customer prompts, responses, and data are not used to train foundation models without permission or instruction.</w:t>
      </w:r>
    </w:p>
    <w:p>
      <w:pPr>
        <w:pStyle w:val="Heading2"/>
        <w:keepNext/>
        <w:pageBreakBefore w:val="0"/>
      </w:pPr>
      <w:r>
        <w:t>6.2 Account type matters</w:t>
      </w:r>
    </w:p>
    <w:p>
      <w:r>
        <w:t>A personal Google account, consumer Gemini experience, or incorrectly licensed user may have different data-handling terms. Pixeldust verifies the exact Workspace edition, Cloud service, administrative settings, and contract before confidential information is introduced. Employees should not move organizational information into personal accounts.</w:t>
      </w:r>
    </w:p>
    <w:p>
      <w:pPr>
        <w:pStyle w:val="Heading2"/>
        <w:keepNext/>
        <w:pageBreakBefore w:val="0"/>
      </w:pPr>
      <w:r>
        <w:t>6.3 Tenant and project separation</w:t>
      </w:r>
    </w:p>
    <w:p>
      <w:r>
        <w:t>Workspace content remains within the customer’s domain. Custom cloud resources are created inside customer-controlled Google Cloud projects. Separate projects can be used for development, testing, and production. Separate customers are never combined into one Shared Drive, data store, agent, service account, or cloud project unless a documented multi-tenant architecture is intentionally designed.</w:t>
      </w:r>
    </w:p>
    <w:p>
      <w:pPr>
        <w:pStyle w:val="Heading2"/>
        <w:keepNext/>
        <w:pageBreakBefore w:val="0"/>
      </w:pPr>
      <w:r>
        <w:t>6.4 Additional security controls</w:t>
      </w:r>
    </w:p>
    <w:tbl>
      <w:tblPr>
        <w:tblStyle w:val="TableGrid"/>
        <w:tblW w:type="auto" w:w="0"/>
        <w:jc w:val="center"/>
        <w:tblLook w:firstColumn="1" w:firstRow="1" w:lastColumn="0" w:lastRow="0" w:noHBand="0" w:noVBand="1" w:val="04A0"/>
      </w:tblPr>
      <w:tblGrid>
        <w:gridCol w:w="4968"/>
        <w:gridCol w:w="4968"/>
      </w:tblGrid>
      <w:tr>
        <w:trPr>
          <w:tblHeader w:val="true"/>
        </w:trPr>
        <w:tc>
          <w:tcPr>
            <w:tcW w:type="dxa" w:w="3024"/>
            <w:shd w:fill="17365D"/>
            <w:tcMar>
              <w:top w:w="100" w:type="dxa"/>
              <w:start w:w="120" w:type="dxa"/>
              <w:bottom w:w="100" w:type="dxa"/>
              <w:end w:w="120" w:type="dxa"/>
            </w:tcMar>
          </w:tcPr>
          <w:p>
            <w:pPr>
              <w:jc w:val="left"/>
            </w:pPr>
            <w:r>
              <w:rPr>
                <w:b/>
                <w:color w:val="FFFFFF"/>
                <w:sz w:val="18"/>
              </w:rPr>
              <w:t>Control</w:t>
            </w:r>
          </w:p>
        </w:tc>
        <w:tc>
          <w:tcPr>
            <w:tcW w:type="dxa" w:w="6912"/>
            <w:shd w:fill="17365D"/>
            <w:tcMar>
              <w:top w:w="100" w:type="dxa"/>
              <w:start w:w="120" w:type="dxa"/>
              <w:bottom w:w="100" w:type="dxa"/>
              <w:end w:w="120" w:type="dxa"/>
            </w:tcMar>
          </w:tcPr>
          <w:p>
            <w:pPr>
              <w:jc w:val="left"/>
            </w:pPr>
            <w:r>
              <w:rPr>
                <w:b/>
                <w:color w:val="FFFFFF"/>
                <w:sz w:val="18"/>
              </w:rPr>
              <w:t>Purpose</w:t>
            </w:r>
          </w:p>
        </w:tc>
      </w:tr>
      <w:tr>
        <w:tc>
          <w:tcPr>
            <w:tcW w:type="dxa" w:w="3024"/>
            <w:tcMar>
              <w:top w:w="100" w:type="dxa"/>
              <w:start w:w="120" w:type="dxa"/>
              <w:bottom w:w="100" w:type="dxa"/>
              <w:end w:w="120" w:type="dxa"/>
            </w:tcMar>
            <w:vAlign w:val="top"/>
          </w:tcPr>
          <w:p>
            <w:pPr>
              <w:spacing w:after="0"/>
            </w:pPr>
            <w:r>
              <w:rPr>
                <w:sz w:val="18"/>
              </w:rPr>
              <w:t>Multi-factor authentication and context-aware access</w:t>
            </w:r>
          </w:p>
        </w:tc>
        <w:tc>
          <w:tcPr>
            <w:tcW w:type="dxa" w:w="6912"/>
            <w:tcMar>
              <w:top w:w="100" w:type="dxa"/>
              <w:start w:w="120" w:type="dxa"/>
              <w:bottom w:w="100" w:type="dxa"/>
              <w:end w:w="120" w:type="dxa"/>
            </w:tcMar>
            <w:vAlign w:val="top"/>
          </w:tcPr>
          <w:p>
            <w:pPr>
              <w:spacing w:after="0"/>
            </w:pPr>
            <w:r>
              <w:rPr>
                <w:sz w:val="18"/>
              </w:rPr>
              <w:t>Reduce account compromise and restrict access based on user, device, location, or risk.</w:t>
            </w:r>
          </w:p>
        </w:tc>
      </w:tr>
      <w:tr>
        <w:tc>
          <w:tcPr>
            <w:tcW w:type="dxa" w:w="3024"/>
            <w:tcMar>
              <w:top w:w="100" w:type="dxa"/>
              <w:start w:w="120" w:type="dxa"/>
              <w:bottom w:w="100" w:type="dxa"/>
              <w:end w:w="120" w:type="dxa"/>
            </w:tcMar>
            <w:vAlign w:val="top"/>
          </w:tcPr>
          <w:p>
            <w:pPr>
              <w:spacing w:after="0"/>
            </w:pPr>
            <w:r>
              <w:rPr>
                <w:sz w:val="18"/>
              </w:rPr>
              <w:t>Data Loss Prevention</w:t>
            </w:r>
          </w:p>
        </w:tc>
        <w:tc>
          <w:tcPr>
            <w:tcW w:type="dxa" w:w="6912"/>
            <w:tcMar>
              <w:top w:w="100" w:type="dxa"/>
              <w:start w:w="120" w:type="dxa"/>
              <w:bottom w:w="100" w:type="dxa"/>
              <w:end w:w="120" w:type="dxa"/>
            </w:tcMar>
            <w:vAlign w:val="top"/>
          </w:tcPr>
          <w:p>
            <w:pPr>
              <w:spacing w:after="0"/>
            </w:pPr>
            <w:r>
              <w:rPr>
                <w:sz w:val="18"/>
              </w:rPr>
              <w:t>Detect and restrict inappropriate sharing of sensitive data in supported Workspace and Cloud services.</w:t>
            </w:r>
          </w:p>
        </w:tc>
      </w:tr>
      <w:tr>
        <w:tc>
          <w:tcPr>
            <w:tcW w:type="dxa" w:w="3024"/>
            <w:tcMar>
              <w:top w:w="100" w:type="dxa"/>
              <w:start w:w="120" w:type="dxa"/>
              <w:bottom w:w="100" w:type="dxa"/>
              <w:end w:w="120" w:type="dxa"/>
            </w:tcMar>
            <w:vAlign w:val="top"/>
          </w:tcPr>
          <w:p>
            <w:pPr>
              <w:spacing w:after="0"/>
            </w:pPr>
            <w:r>
              <w:rPr>
                <w:sz w:val="18"/>
              </w:rPr>
              <w:t>Google Vault</w:t>
            </w:r>
          </w:p>
        </w:tc>
        <w:tc>
          <w:tcPr>
            <w:tcW w:type="dxa" w:w="6912"/>
            <w:tcMar>
              <w:top w:w="100" w:type="dxa"/>
              <w:start w:w="120" w:type="dxa"/>
              <w:bottom w:w="100" w:type="dxa"/>
              <w:end w:w="120" w:type="dxa"/>
            </w:tcMar>
            <w:vAlign w:val="top"/>
          </w:tcPr>
          <w:p>
            <w:pPr>
              <w:spacing w:after="0"/>
            </w:pPr>
            <w:r>
              <w:rPr>
                <w:sz w:val="18"/>
              </w:rPr>
              <w:t>Apply retention, legal hold, search, and export controls to supported Workspace data.</w:t>
            </w:r>
          </w:p>
        </w:tc>
      </w:tr>
      <w:tr>
        <w:tc>
          <w:tcPr>
            <w:tcW w:type="dxa" w:w="3024"/>
            <w:tcMar>
              <w:top w:w="100" w:type="dxa"/>
              <w:start w:w="120" w:type="dxa"/>
              <w:bottom w:w="100" w:type="dxa"/>
              <w:end w:w="120" w:type="dxa"/>
            </w:tcMar>
            <w:vAlign w:val="top"/>
          </w:tcPr>
          <w:p>
            <w:pPr>
              <w:spacing w:after="0"/>
            </w:pPr>
            <w:r>
              <w:rPr>
                <w:sz w:val="18"/>
              </w:rPr>
              <w:t>IAM and custom roles</w:t>
            </w:r>
          </w:p>
        </w:tc>
        <w:tc>
          <w:tcPr>
            <w:tcW w:type="dxa" w:w="6912"/>
            <w:tcMar>
              <w:top w:w="100" w:type="dxa"/>
              <w:start w:w="120" w:type="dxa"/>
              <w:bottom w:w="100" w:type="dxa"/>
              <w:end w:w="120" w:type="dxa"/>
            </w:tcMar>
            <w:vAlign w:val="top"/>
          </w:tcPr>
          <w:p>
            <w:pPr>
              <w:spacing w:after="0"/>
            </w:pPr>
            <w:r>
              <w:rPr>
                <w:sz w:val="18"/>
              </w:rPr>
              <w:t>Grant administrators, developers, agents, and service accounts only the permissions required.</w:t>
            </w:r>
          </w:p>
        </w:tc>
      </w:tr>
      <w:tr>
        <w:tc>
          <w:tcPr>
            <w:tcW w:type="dxa" w:w="3024"/>
            <w:tcMar>
              <w:top w:w="100" w:type="dxa"/>
              <w:start w:w="120" w:type="dxa"/>
              <w:bottom w:w="100" w:type="dxa"/>
              <w:end w:w="120" w:type="dxa"/>
            </w:tcMar>
            <w:vAlign w:val="top"/>
          </w:tcPr>
          <w:p>
            <w:pPr>
              <w:spacing w:after="0"/>
            </w:pPr>
            <w:r>
              <w:rPr>
                <w:sz w:val="18"/>
              </w:rPr>
              <w:t>VPC Service Controls</w:t>
            </w:r>
          </w:p>
        </w:tc>
        <w:tc>
          <w:tcPr>
            <w:tcW w:type="dxa" w:w="6912"/>
            <w:tcMar>
              <w:top w:w="100" w:type="dxa"/>
              <w:start w:w="120" w:type="dxa"/>
              <w:bottom w:w="100" w:type="dxa"/>
              <w:end w:w="120" w:type="dxa"/>
            </w:tcMar>
            <w:vAlign w:val="top"/>
          </w:tcPr>
          <w:p>
            <w:pPr>
              <w:spacing w:after="0"/>
            </w:pPr>
            <w:r>
              <w:rPr>
                <w:sz w:val="18"/>
              </w:rPr>
              <w:t>Create service perimeters that reduce data-exfiltration risk for supported Google Cloud services.</w:t>
            </w:r>
          </w:p>
        </w:tc>
      </w:tr>
      <w:tr>
        <w:tc>
          <w:tcPr>
            <w:tcW w:type="dxa" w:w="3024"/>
            <w:tcMar>
              <w:top w:w="100" w:type="dxa"/>
              <w:start w:w="120" w:type="dxa"/>
              <w:bottom w:w="100" w:type="dxa"/>
              <w:end w:w="120" w:type="dxa"/>
            </w:tcMar>
            <w:vAlign w:val="top"/>
          </w:tcPr>
          <w:p>
            <w:pPr>
              <w:spacing w:after="0"/>
            </w:pPr>
            <w:r>
              <w:rPr>
                <w:sz w:val="18"/>
              </w:rPr>
              <w:t>Customer-managed encryption keys where supported</w:t>
            </w:r>
          </w:p>
        </w:tc>
        <w:tc>
          <w:tcPr>
            <w:tcW w:type="dxa" w:w="6912"/>
            <w:tcMar>
              <w:top w:w="100" w:type="dxa"/>
              <w:start w:w="120" w:type="dxa"/>
              <w:bottom w:w="100" w:type="dxa"/>
              <w:end w:w="120" w:type="dxa"/>
            </w:tcMar>
            <w:vAlign w:val="top"/>
          </w:tcPr>
          <w:p>
            <w:pPr>
              <w:spacing w:after="0"/>
            </w:pPr>
            <w:r>
              <w:rPr>
                <w:sz w:val="18"/>
              </w:rPr>
              <w:t>Give the customer additional control over encryption key management for selected services.</w:t>
            </w:r>
          </w:p>
        </w:tc>
      </w:tr>
      <w:tr>
        <w:tc>
          <w:tcPr>
            <w:tcW w:type="dxa" w:w="3024"/>
            <w:tcMar>
              <w:top w:w="100" w:type="dxa"/>
              <w:start w:w="120" w:type="dxa"/>
              <w:bottom w:w="100" w:type="dxa"/>
              <w:end w:w="120" w:type="dxa"/>
            </w:tcMar>
            <w:vAlign w:val="top"/>
          </w:tcPr>
          <w:p>
            <w:pPr>
              <w:spacing w:after="0"/>
            </w:pPr>
            <w:r>
              <w:rPr>
                <w:sz w:val="18"/>
              </w:rPr>
              <w:t>Secret Manager</w:t>
            </w:r>
          </w:p>
        </w:tc>
        <w:tc>
          <w:tcPr>
            <w:tcW w:type="dxa" w:w="6912"/>
            <w:tcMar>
              <w:top w:w="100" w:type="dxa"/>
              <w:start w:w="120" w:type="dxa"/>
              <w:bottom w:w="100" w:type="dxa"/>
              <w:end w:w="120" w:type="dxa"/>
            </w:tcMar>
            <w:vAlign w:val="top"/>
          </w:tcPr>
          <w:p>
            <w:pPr>
              <w:spacing w:after="0"/>
            </w:pPr>
            <w:r>
              <w:rPr>
                <w:sz w:val="18"/>
              </w:rPr>
              <w:t>Store API keys, OAuth secrets, certificates, and service credentials outside application code.</w:t>
            </w:r>
          </w:p>
        </w:tc>
      </w:tr>
      <w:tr>
        <w:tc>
          <w:tcPr>
            <w:tcW w:type="dxa" w:w="3024"/>
            <w:tcMar>
              <w:top w:w="100" w:type="dxa"/>
              <w:start w:w="120" w:type="dxa"/>
              <w:bottom w:w="100" w:type="dxa"/>
              <w:end w:w="120" w:type="dxa"/>
            </w:tcMar>
            <w:vAlign w:val="top"/>
          </w:tcPr>
          <w:p>
            <w:pPr>
              <w:spacing w:after="0"/>
            </w:pPr>
            <w:r>
              <w:rPr>
                <w:sz w:val="18"/>
              </w:rPr>
              <w:t>Cloud Audit Logs and Workspace audit logs</w:t>
            </w:r>
          </w:p>
        </w:tc>
        <w:tc>
          <w:tcPr>
            <w:tcW w:type="dxa" w:w="6912"/>
            <w:tcMar>
              <w:top w:w="100" w:type="dxa"/>
              <w:start w:w="120" w:type="dxa"/>
              <w:bottom w:w="100" w:type="dxa"/>
              <w:end w:w="120" w:type="dxa"/>
            </w:tcMar>
            <w:vAlign w:val="top"/>
          </w:tcPr>
          <w:p>
            <w:pPr>
              <w:spacing w:after="0"/>
            </w:pPr>
            <w:r>
              <w:rPr>
                <w:sz w:val="18"/>
              </w:rPr>
              <w:t>Record administrative and data-access activity for investigation and oversight.</w:t>
            </w:r>
          </w:p>
        </w:tc>
      </w:tr>
      <w:tr>
        <w:tc>
          <w:tcPr>
            <w:tcW w:type="dxa" w:w="3024"/>
            <w:tcMar>
              <w:top w:w="100" w:type="dxa"/>
              <w:start w:w="120" w:type="dxa"/>
              <w:bottom w:w="100" w:type="dxa"/>
              <w:end w:w="120" w:type="dxa"/>
            </w:tcMar>
            <w:vAlign w:val="top"/>
          </w:tcPr>
          <w:p>
            <w:pPr>
              <w:spacing w:after="0"/>
            </w:pPr>
            <w:r>
              <w:rPr>
                <w:sz w:val="18"/>
              </w:rPr>
              <w:t>Security Command Center and Model Armor</w:t>
            </w:r>
          </w:p>
        </w:tc>
        <w:tc>
          <w:tcPr>
            <w:tcW w:type="dxa" w:w="6912"/>
            <w:tcMar>
              <w:top w:w="100" w:type="dxa"/>
              <w:start w:w="120" w:type="dxa"/>
              <w:bottom w:w="100" w:type="dxa"/>
              <w:end w:w="120" w:type="dxa"/>
            </w:tcMar>
            <w:vAlign w:val="top"/>
          </w:tcPr>
          <w:p>
            <w:pPr>
              <w:spacing w:after="0"/>
            </w:pPr>
            <w:r>
              <w:rPr>
                <w:sz w:val="18"/>
              </w:rPr>
              <w:t>Support threat detection, security posture management, and model interaction protections where selected.</w:t>
            </w:r>
          </w:p>
        </w:tc>
      </w:tr>
    </w:tbl>
    <w:p>
      <w:pPr>
        <w:spacing w:after="0"/>
      </w:pPr>
    </w:p>
    <w:p>
      <w:pPr>
        <w:pStyle w:val="Heading1"/>
        <w:keepNext/>
        <w:pageBreakBefore/>
      </w:pPr>
      <w:r>
        <w:t>7. How a User Question Is Answered</w:t>
      </w:r>
    </w:p>
    <w:p>
      <w:pPr>
        <w:pStyle w:val="ListNumber"/>
        <w:spacing w:after="80"/>
      </w:pPr>
      <w:r>
        <w:t>The user signs in through Google Workspace, Cloud Identity, an approved identity provider, or a public anonymous channel.</w:t>
      </w:r>
    </w:p>
    <w:p>
      <w:pPr>
        <w:pStyle w:val="ListNumber"/>
        <w:spacing w:after="80"/>
      </w:pPr>
      <w:r>
        <w:t>The application determines which agent and knowledge domain should handle the question.</w:t>
      </w:r>
    </w:p>
    <w:p>
      <w:pPr>
        <w:pStyle w:val="ListNumber"/>
        <w:spacing w:after="80"/>
      </w:pPr>
      <w:r>
        <w:t>The retrieval layer searches only approved sources and applies the configured identity or document-level access rules.</w:t>
      </w:r>
    </w:p>
    <w:p>
      <w:pPr>
        <w:pStyle w:val="ListNumber"/>
        <w:spacing w:after="80"/>
      </w:pPr>
      <w:r>
        <w:t>Relevant passages and metadata are sent to the Gemini model as grounding context.</w:t>
      </w:r>
    </w:p>
    <w:p>
      <w:pPr>
        <w:pStyle w:val="ListNumber"/>
        <w:spacing w:after="80"/>
      </w:pPr>
      <w:r>
        <w:t>The agent applies its instructions, business rules, safety policies, and tool permissions.</w:t>
      </w:r>
    </w:p>
    <w:p>
      <w:pPr>
        <w:pStyle w:val="ListNumber"/>
        <w:spacing w:after="80"/>
      </w:pPr>
      <w:r>
        <w:t>The answer is returned with sources when available. If the evidence is insufficient, the agent declines, asks for clarification, or routes the request to a person.</w:t>
      </w:r>
    </w:p>
    <w:p>
      <w:pPr>
        <w:pStyle w:val="ListNumber"/>
        <w:spacing w:after="80"/>
      </w:pPr>
      <w:r>
        <w:t>Activity is logged according to Workspace, application, and Google Cloud configuration.</w:t>
      </w:r>
    </w:p>
    <w:p>
      <w:pPr>
        <w:pStyle w:val="Heading1"/>
        <w:keepNext/>
        <w:pageBreakBefore/>
      </w:pPr>
      <w:r>
        <w:t>8. Domain-Specific Agents</w:t>
      </w:r>
    </w:p>
    <w:p>
      <w:r>
        <w:t>Pixeldust recommends a controlled family of agents instead of one unrestricted company bot. Each agent has a defined scope, owner, audience, sources, tools, and escalation path.</w:t>
      </w:r>
    </w:p>
    <w:tbl>
      <w:tblPr>
        <w:tblStyle w:val="TableGrid"/>
        <w:tblW w:type="auto" w:w="0"/>
        <w:jc w:val="center"/>
        <w:tblLook w:firstColumn="1" w:firstRow="1" w:lastColumn="0" w:lastRow="0" w:noHBand="0" w:noVBand="1" w:val="04A0"/>
      </w:tblPr>
      <w:tblGrid>
        <w:gridCol w:w="2484"/>
        <w:gridCol w:w="2484"/>
        <w:gridCol w:w="2484"/>
        <w:gridCol w:w="2484"/>
      </w:tblGrid>
      <w:tr>
        <w:trPr>
          <w:tblHeader w:val="true"/>
        </w:trPr>
        <w:tc>
          <w:tcPr>
            <w:tcW w:type="dxa" w:w="1872"/>
            <w:shd w:fill="17365D"/>
            <w:tcMar>
              <w:top w:w="100" w:type="dxa"/>
              <w:start w:w="120" w:type="dxa"/>
              <w:bottom w:w="100" w:type="dxa"/>
              <w:end w:w="120" w:type="dxa"/>
            </w:tcMar>
          </w:tcPr>
          <w:p>
            <w:pPr>
              <w:jc w:val="left"/>
            </w:pPr>
            <w:r>
              <w:rPr>
                <w:b/>
                <w:color w:val="FFFFFF"/>
                <w:sz w:val="18"/>
              </w:rPr>
              <w:t>Agent</w:t>
            </w:r>
          </w:p>
        </w:tc>
        <w:tc>
          <w:tcPr>
            <w:tcW w:type="dxa" w:w="3456"/>
            <w:shd w:fill="17365D"/>
            <w:tcMar>
              <w:top w:w="100" w:type="dxa"/>
              <w:start w:w="120" w:type="dxa"/>
              <w:bottom w:w="100" w:type="dxa"/>
              <w:end w:w="120" w:type="dxa"/>
            </w:tcMar>
          </w:tcPr>
          <w:p>
            <w:pPr>
              <w:jc w:val="left"/>
            </w:pPr>
            <w:r>
              <w:rPr>
                <w:b/>
                <w:color w:val="FFFFFF"/>
                <w:sz w:val="18"/>
              </w:rPr>
              <w:t>Approved knowledge</w:t>
            </w:r>
          </w:p>
        </w:tc>
        <w:tc>
          <w:tcPr>
            <w:tcW w:type="dxa" w:w="3168"/>
            <w:shd w:fill="17365D"/>
            <w:tcMar>
              <w:top w:w="100" w:type="dxa"/>
              <w:start w:w="120" w:type="dxa"/>
              <w:bottom w:w="100" w:type="dxa"/>
              <w:end w:w="120" w:type="dxa"/>
            </w:tcMar>
          </w:tcPr>
          <w:p>
            <w:pPr>
              <w:jc w:val="left"/>
            </w:pPr>
            <w:r>
              <w:rPr>
                <w:b/>
                <w:color w:val="FFFFFF"/>
                <w:sz w:val="18"/>
              </w:rPr>
              <w:t>Possible actions</w:t>
            </w:r>
          </w:p>
        </w:tc>
        <w:tc>
          <w:tcPr>
            <w:tcW w:type="dxa" w:w="1728"/>
            <w:shd w:fill="17365D"/>
            <w:tcMar>
              <w:top w:w="100" w:type="dxa"/>
              <w:start w:w="120" w:type="dxa"/>
              <w:bottom w:w="100" w:type="dxa"/>
              <w:end w:w="120" w:type="dxa"/>
            </w:tcMar>
          </w:tcPr>
          <w:p>
            <w:pPr>
              <w:jc w:val="left"/>
            </w:pPr>
            <w:r>
              <w:rPr>
                <w:b/>
                <w:color w:val="FFFFFF"/>
                <w:sz w:val="18"/>
              </w:rPr>
              <w:t>Audience</w:t>
            </w:r>
          </w:p>
        </w:tc>
      </w:tr>
      <w:tr>
        <w:tc>
          <w:tcPr>
            <w:tcW w:type="dxa" w:w="1872"/>
            <w:tcMar>
              <w:top w:w="100" w:type="dxa"/>
              <w:start w:w="120" w:type="dxa"/>
              <w:bottom w:w="100" w:type="dxa"/>
              <w:end w:w="120" w:type="dxa"/>
            </w:tcMar>
            <w:vAlign w:val="top"/>
          </w:tcPr>
          <w:p>
            <w:pPr>
              <w:spacing w:after="0"/>
            </w:pPr>
            <w:r>
              <w:rPr>
                <w:sz w:val="18"/>
              </w:rPr>
              <w:t>Operations Agent</w:t>
            </w:r>
          </w:p>
        </w:tc>
        <w:tc>
          <w:tcPr>
            <w:tcW w:type="dxa" w:w="3456"/>
            <w:tcMar>
              <w:top w:w="100" w:type="dxa"/>
              <w:start w:w="120" w:type="dxa"/>
              <w:bottom w:w="100" w:type="dxa"/>
              <w:end w:w="120" w:type="dxa"/>
            </w:tcMar>
            <w:vAlign w:val="top"/>
          </w:tcPr>
          <w:p>
            <w:pPr>
              <w:spacing w:after="0"/>
            </w:pPr>
            <w:r>
              <w:rPr>
                <w:sz w:val="18"/>
              </w:rPr>
              <w:t>SOPs, checklists, schedules, escalation procedures</w:t>
            </w:r>
          </w:p>
        </w:tc>
        <w:tc>
          <w:tcPr>
            <w:tcW w:type="dxa" w:w="3168"/>
            <w:tcMar>
              <w:top w:w="100" w:type="dxa"/>
              <w:start w:w="120" w:type="dxa"/>
              <w:bottom w:w="100" w:type="dxa"/>
              <w:end w:w="120" w:type="dxa"/>
            </w:tcMar>
            <w:vAlign w:val="top"/>
          </w:tcPr>
          <w:p>
            <w:pPr>
              <w:spacing w:after="0"/>
            </w:pPr>
            <w:r>
              <w:rPr>
                <w:sz w:val="18"/>
              </w:rPr>
              <w:t>Find procedures, generate checklists, route exceptions</w:t>
            </w:r>
          </w:p>
        </w:tc>
        <w:tc>
          <w:tcPr>
            <w:tcW w:type="dxa" w:w="1728"/>
            <w:tcMar>
              <w:top w:w="100" w:type="dxa"/>
              <w:start w:w="120" w:type="dxa"/>
              <w:bottom w:w="100" w:type="dxa"/>
              <w:end w:w="120" w:type="dxa"/>
            </w:tcMar>
            <w:vAlign w:val="top"/>
          </w:tcPr>
          <w:p>
            <w:pPr>
              <w:spacing w:after="0"/>
            </w:pPr>
            <w:r>
              <w:rPr>
                <w:sz w:val="18"/>
              </w:rPr>
              <w:t>Operations teams</w:t>
            </w:r>
          </w:p>
        </w:tc>
      </w:tr>
      <w:tr>
        <w:tc>
          <w:tcPr>
            <w:tcW w:type="dxa" w:w="1872"/>
            <w:tcMar>
              <w:top w:w="100" w:type="dxa"/>
              <w:start w:w="120" w:type="dxa"/>
              <w:bottom w:w="100" w:type="dxa"/>
              <w:end w:w="120" w:type="dxa"/>
            </w:tcMar>
            <w:vAlign w:val="top"/>
          </w:tcPr>
          <w:p>
            <w:pPr>
              <w:spacing w:after="0"/>
            </w:pPr>
            <w:r>
              <w:rPr>
                <w:sz w:val="18"/>
              </w:rPr>
              <w:t>Field Service Agent</w:t>
            </w:r>
          </w:p>
        </w:tc>
        <w:tc>
          <w:tcPr>
            <w:tcW w:type="dxa" w:w="3456"/>
            <w:tcMar>
              <w:top w:w="100" w:type="dxa"/>
              <w:start w:w="120" w:type="dxa"/>
              <w:bottom w:w="100" w:type="dxa"/>
              <w:end w:w="120" w:type="dxa"/>
            </w:tcMar>
            <w:vAlign w:val="top"/>
          </w:tcPr>
          <w:p>
            <w:pPr>
              <w:spacing w:after="0"/>
            </w:pPr>
            <w:r>
              <w:rPr>
                <w:sz w:val="18"/>
              </w:rPr>
              <w:t>Equipment manuals, troubleshooting history, approved field notes</w:t>
            </w:r>
          </w:p>
        </w:tc>
        <w:tc>
          <w:tcPr>
            <w:tcW w:type="dxa" w:w="3168"/>
            <w:tcMar>
              <w:top w:w="100" w:type="dxa"/>
              <w:start w:w="120" w:type="dxa"/>
              <w:bottom w:w="100" w:type="dxa"/>
              <w:end w:w="120" w:type="dxa"/>
            </w:tcMar>
            <w:vAlign w:val="top"/>
          </w:tcPr>
          <w:p>
            <w:pPr>
              <w:spacing w:after="0"/>
            </w:pPr>
            <w:r>
              <w:rPr>
                <w:sz w:val="18"/>
              </w:rPr>
              <w:t>Diagnose from approved material, create service summaries</w:t>
            </w:r>
          </w:p>
        </w:tc>
        <w:tc>
          <w:tcPr>
            <w:tcW w:type="dxa" w:w="1728"/>
            <w:tcMar>
              <w:top w:w="100" w:type="dxa"/>
              <w:start w:w="120" w:type="dxa"/>
              <w:bottom w:w="100" w:type="dxa"/>
              <w:end w:w="120" w:type="dxa"/>
            </w:tcMar>
            <w:vAlign w:val="top"/>
          </w:tcPr>
          <w:p>
            <w:pPr>
              <w:spacing w:after="0"/>
            </w:pPr>
            <w:r>
              <w:rPr>
                <w:sz w:val="18"/>
              </w:rPr>
              <w:t>Technicians and managers</w:t>
            </w:r>
          </w:p>
        </w:tc>
      </w:tr>
      <w:tr>
        <w:tc>
          <w:tcPr>
            <w:tcW w:type="dxa" w:w="1872"/>
            <w:tcMar>
              <w:top w:w="100" w:type="dxa"/>
              <w:start w:w="120" w:type="dxa"/>
              <w:bottom w:w="100" w:type="dxa"/>
              <w:end w:w="120" w:type="dxa"/>
            </w:tcMar>
            <w:vAlign w:val="top"/>
          </w:tcPr>
          <w:p>
            <w:pPr>
              <w:spacing w:after="0"/>
            </w:pPr>
            <w:r>
              <w:rPr>
                <w:sz w:val="18"/>
              </w:rPr>
              <w:t>Sales Agent</w:t>
            </w:r>
          </w:p>
        </w:tc>
        <w:tc>
          <w:tcPr>
            <w:tcW w:type="dxa" w:w="3456"/>
            <w:tcMar>
              <w:top w:w="100" w:type="dxa"/>
              <w:start w:w="120" w:type="dxa"/>
              <w:bottom w:w="100" w:type="dxa"/>
              <w:end w:w="120" w:type="dxa"/>
            </w:tcMar>
            <w:vAlign w:val="top"/>
          </w:tcPr>
          <w:p>
            <w:pPr>
              <w:spacing w:after="0"/>
            </w:pPr>
            <w:r>
              <w:rPr>
                <w:sz w:val="18"/>
              </w:rPr>
              <w:t>Services, qualification rules, proposal language, case studies</w:t>
            </w:r>
          </w:p>
        </w:tc>
        <w:tc>
          <w:tcPr>
            <w:tcW w:type="dxa" w:w="3168"/>
            <w:tcMar>
              <w:top w:w="100" w:type="dxa"/>
              <w:start w:w="120" w:type="dxa"/>
              <w:bottom w:w="100" w:type="dxa"/>
              <w:end w:w="120" w:type="dxa"/>
            </w:tcMar>
            <w:vAlign w:val="top"/>
          </w:tcPr>
          <w:p>
            <w:pPr>
              <w:spacing w:after="0"/>
            </w:pPr>
            <w:r>
              <w:rPr>
                <w:sz w:val="18"/>
              </w:rPr>
              <w:t>Prepare call briefs, draft approved follow-up, locate proof points</w:t>
            </w:r>
          </w:p>
        </w:tc>
        <w:tc>
          <w:tcPr>
            <w:tcW w:type="dxa" w:w="1728"/>
            <w:tcMar>
              <w:top w:w="100" w:type="dxa"/>
              <w:start w:w="120" w:type="dxa"/>
              <w:bottom w:w="100" w:type="dxa"/>
              <w:end w:w="120" w:type="dxa"/>
            </w:tcMar>
            <w:vAlign w:val="top"/>
          </w:tcPr>
          <w:p>
            <w:pPr>
              <w:spacing w:after="0"/>
            </w:pPr>
            <w:r>
              <w:rPr>
                <w:sz w:val="18"/>
              </w:rPr>
              <w:t>Sales team</w:t>
            </w:r>
          </w:p>
        </w:tc>
      </w:tr>
      <w:tr>
        <w:tc>
          <w:tcPr>
            <w:tcW w:type="dxa" w:w="1872"/>
            <w:tcMar>
              <w:top w:w="100" w:type="dxa"/>
              <w:start w:w="120" w:type="dxa"/>
              <w:bottom w:w="100" w:type="dxa"/>
              <w:end w:w="120" w:type="dxa"/>
            </w:tcMar>
            <w:vAlign w:val="top"/>
          </w:tcPr>
          <w:p>
            <w:pPr>
              <w:spacing w:after="0"/>
            </w:pPr>
            <w:r>
              <w:rPr>
                <w:sz w:val="18"/>
              </w:rPr>
              <w:t>Onboarding Agent</w:t>
            </w:r>
          </w:p>
        </w:tc>
        <w:tc>
          <w:tcPr>
            <w:tcW w:type="dxa" w:w="3456"/>
            <w:tcMar>
              <w:top w:w="100" w:type="dxa"/>
              <w:start w:w="120" w:type="dxa"/>
              <w:bottom w:w="100" w:type="dxa"/>
              <w:end w:w="120" w:type="dxa"/>
            </w:tcMar>
            <w:vAlign w:val="top"/>
          </w:tcPr>
          <w:p>
            <w:pPr>
              <w:spacing w:after="0"/>
            </w:pPr>
            <w:r>
              <w:rPr>
                <w:sz w:val="18"/>
              </w:rPr>
              <w:t>Role guides, training material, policies, department FAQs</w:t>
            </w:r>
          </w:p>
        </w:tc>
        <w:tc>
          <w:tcPr>
            <w:tcW w:type="dxa" w:w="3168"/>
            <w:tcMar>
              <w:top w:w="100" w:type="dxa"/>
              <w:start w:w="120" w:type="dxa"/>
              <w:bottom w:w="100" w:type="dxa"/>
              <w:end w:w="120" w:type="dxa"/>
            </w:tcMar>
            <w:vAlign w:val="top"/>
          </w:tcPr>
          <w:p>
            <w:pPr>
              <w:spacing w:after="0"/>
            </w:pPr>
            <w:r>
              <w:rPr>
                <w:sz w:val="18"/>
              </w:rPr>
              <w:t>Create learning paths, answer new-hire questions</w:t>
            </w:r>
          </w:p>
        </w:tc>
        <w:tc>
          <w:tcPr>
            <w:tcW w:type="dxa" w:w="1728"/>
            <w:tcMar>
              <w:top w:w="100" w:type="dxa"/>
              <w:start w:w="120" w:type="dxa"/>
              <w:bottom w:w="100" w:type="dxa"/>
              <w:end w:w="120" w:type="dxa"/>
            </w:tcMar>
            <w:vAlign w:val="top"/>
          </w:tcPr>
          <w:p>
            <w:pPr>
              <w:spacing w:after="0"/>
            </w:pPr>
            <w:r>
              <w:rPr>
                <w:sz w:val="18"/>
              </w:rPr>
              <w:t>New employees</w:t>
            </w:r>
          </w:p>
        </w:tc>
      </w:tr>
      <w:tr>
        <w:tc>
          <w:tcPr>
            <w:tcW w:type="dxa" w:w="1872"/>
            <w:tcMar>
              <w:top w:w="100" w:type="dxa"/>
              <w:start w:w="120" w:type="dxa"/>
              <w:bottom w:w="100" w:type="dxa"/>
              <w:end w:w="120" w:type="dxa"/>
            </w:tcMar>
            <w:vAlign w:val="top"/>
          </w:tcPr>
          <w:p>
            <w:pPr>
              <w:spacing w:after="0"/>
            </w:pPr>
            <w:r>
              <w:rPr>
                <w:sz w:val="18"/>
              </w:rPr>
              <w:t>HR Agent</w:t>
            </w:r>
          </w:p>
        </w:tc>
        <w:tc>
          <w:tcPr>
            <w:tcW w:type="dxa" w:w="3456"/>
            <w:tcMar>
              <w:top w:w="100" w:type="dxa"/>
              <w:start w:w="120" w:type="dxa"/>
              <w:bottom w:w="100" w:type="dxa"/>
              <w:end w:w="120" w:type="dxa"/>
            </w:tcMar>
            <w:vAlign w:val="top"/>
          </w:tcPr>
          <w:p>
            <w:pPr>
              <w:spacing w:after="0"/>
            </w:pPr>
            <w:r>
              <w:rPr>
                <w:sz w:val="18"/>
              </w:rPr>
              <w:t>Employee policies and HR procedures</w:t>
            </w:r>
          </w:p>
        </w:tc>
        <w:tc>
          <w:tcPr>
            <w:tcW w:type="dxa" w:w="3168"/>
            <w:tcMar>
              <w:top w:w="100" w:type="dxa"/>
              <w:start w:w="120" w:type="dxa"/>
              <w:bottom w:w="100" w:type="dxa"/>
              <w:end w:w="120" w:type="dxa"/>
            </w:tcMar>
            <w:vAlign w:val="top"/>
          </w:tcPr>
          <w:p>
            <w:pPr>
              <w:spacing w:after="0"/>
            </w:pPr>
            <w:r>
              <w:rPr>
                <w:sz w:val="18"/>
              </w:rPr>
              <w:t>Provide policy answers and route confidential matters</w:t>
            </w:r>
          </w:p>
        </w:tc>
        <w:tc>
          <w:tcPr>
            <w:tcW w:type="dxa" w:w="1728"/>
            <w:tcMar>
              <w:top w:w="100" w:type="dxa"/>
              <w:start w:w="120" w:type="dxa"/>
              <w:bottom w:w="100" w:type="dxa"/>
              <w:end w:w="120" w:type="dxa"/>
            </w:tcMar>
            <w:vAlign w:val="top"/>
          </w:tcPr>
          <w:p>
            <w:pPr>
              <w:spacing w:after="0"/>
            </w:pPr>
            <w:r>
              <w:rPr>
                <w:sz w:val="18"/>
              </w:rPr>
              <w:t>Separate employee and HR-admin versions</w:t>
            </w:r>
          </w:p>
        </w:tc>
      </w:tr>
      <w:tr>
        <w:tc>
          <w:tcPr>
            <w:tcW w:type="dxa" w:w="1872"/>
            <w:tcMar>
              <w:top w:w="100" w:type="dxa"/>
              <w:start w:w="120" w:type="dxa"/>
              <w:bottom w:w="100" w:type="dxa"/>
              <w:end w:w="120" w:type="dxa"/>
            </w:tcMar>
            <w:vAlign w:val="top"/>
          </w:tcPr>
          <w:p>
            <w:pPr>
              <w:spacing w:after="0"/>
            </w:pPr>
            <w:r>
              <w:rPr>
                <w:sz w:val="18"/>
              </w:rPr>
              <w:t>Executive Agent</w:t>
            </w:r>
          </w:p>
        </w:tc>
        <w:tc>
          <w:tcPr>
            <w:tcW w:type="dxa" w:w="3456"/>
            <w:tcMar>
              <w:top w:w="100" w:type="dxa"/>
              <w:start w:w="120" w:type="dxa"/>
              <w:bottom w:w="100" w:type="dxa"/>
              <w:end w:w="120" w:type="dxa"/>
            </w:tcMar>
            <w:vAlign w:val="top"/>
          </w:tcPr>
          <w:p>
            <w:pPr>
              <w:spacing w:after="0"/>
            </w:pPr>
            <w:r>
              <w:rPr>
                <w:sz w:val="18"/>
              </w:rPr>
              <w:t>KPIs, planning documents, board material</w:t>
            </w:r>
          </w:p>
        </w:tc>
        <w:tc>
          <w:tcPr>
            <w:tcW w:type="dxa" w:w="3168"/>
            <w:tcMar>
              <w:top w:w="100" w:type="dxa"/>
              <w:start w:w="120" w:type="dxa"/>
              <w:bottom w:w="100" w:type="dxa"/>
              <w:end w:w="120" w:type="dxa"/>
            </w:tcMar>
            <w:vAlign w:val="top"/>
          </w:tcPr>
          <w:p>
            <w:pPr>
              <w:spacing w:after="0"/>
            </w:pPr>
            <w:r>
              <w:rPr>
                <w:sz w:val="18"/>
              </w:rPr>
              <w:t>Summarize, compare, prepare decision briefs</w:t>
            </w:r>
          </w:p>
        </w:tc>
        <w:tc>
          <w:tcPr>
            <w:tcW w:type="dxa" w:w="1728"/>
            <w:tcMar>
              <w:top w:w="100" w:type="dxa"/>
              <w:start w:w="120" w:type="dxa"/>
              <w:bottom w:w="100" w:type="dxa"/>
              <w:end w:w="120" w:type="dxa"/>
            </w:tcMar>
            <w:vAlign w:val="top"/>
          </w:tcPr>
          <w:p>
            <w:pPr>
              <w:spacing w:after="0"/>
            </w:pPr>
            <w:r>
              <w:rPr>
                <w:sz w:val="18"/>
              </w:rPr>
              <w:t>Executives only</w:t>
            </w:r>
          </w:p>
        </w:tc>
      </w:tr>
      <w:tr>
        <w:tc>
          <w:tcPr>
            <w:tcW w:type="dxa" w:w="1872"/>
            <w:tcMar>
              <w:top w:w="100" w:type="dxa"/>
              <w:start w:w="120" w:type="dxa"/>
              <w:bottom w:w="100" w:type="dxa"/>
              <w:end w:w="120" w:type="dxa"/>
            </w:tcMar>
            <w:vAlign w:val="top"/>
          </w:tcPr>
          <w:p>
            <w:pPr>
              <w:spacing w:after="0"/>
            </w:pPr>
            <w:r>
              <w:rPr>
                <w:sz w:val="18"/>
              </w:rPr>
              <w:t>Public Website Agent</w:t>
            </w:r>
          </w:p>
        </w:tc>
        <w:tc>
          <w:tcPr>
            <w:tcW w:type="dxa" w:w="3456"/>
            <w:tcMar>
              <w:top w:w="100" w:type="dxa"/>
              <w:start w:w="120" w:type="dxa"/>
              <w:bottom w:w="100" w:type="dxa"/>
              <w:end w:w="120" w:type="dxa"/>
            </w:tcMar>
            <w:vAlign w:val="top"/>
          </w:tcPr>
          <w:p>
            <w:pPr>
              <w:spacing w:after="0"/>
            </w:pPr>
            <w:r>
              <w:rPr>
                <w:sz w:val="18"/>
              </w:rPr>
              <w:t>Approved public pages and FAQs</w:t>
            </w:r>
          </w:p>
        </w:tc>
        <w:tc>
          <w:tcPr>
            <w:tcW w:type="dxa" w:w="3168"/>
            <w:tcMar>
              <w:top w:w="100" w:type="dxa"/>
              <w:start w:w="120" w:type="dxa"/>
              <w:bottom w:w="100" w:type="dxa"/>
              <w:end w:w="120" w:type="dxa"/>
            </w:tcMar>
            <w:vAlign w:val="top"/>
          </w:tcPr>
          <w:p>
            <w:pPr>
              <w:spacing w:after="0"/>
            </w:pPr>
            <w:r>
              <w:rPr>
                <w:sz w:val="18"/>
              </w:rPr>
              <w:t>Answer visitor questions, qualify leads, route contact requests</w:t>
            </w:r>
          </w:p>
        </w:tc>
        <w:tc>
          <w:tcPr>
            <w:tcW w:type="dxa" w:w="1728"/>
            <w:tcMar>
              <w:top w:w="100" w:type="dxa"/>
              <w:start w:w="120" w:type="dxa"/>
              <w:bottom w:w="100" w:type="dxa"/>
              <w:end w:w="120" w:type="dxa"/>
            </w:tcMar>
            <w:vAlign w:val="top"/>
          </w:tcPr>
          <w:p>
            <w:pPr>
              <w:spacing w:after="0"/>
            </w:pPr>
            <w:r>
              <w:rPr>
                <w:sz w:val="18"/>
              </w:rPr>
              <w:t>Anonymous website visitors</w:t>
            </w:r>
          </w:p>
        </w:tc>
      </w:tr>
    </w:tbl>
    <w:p>
      <w:pPr>
        <w:spacing w:after="0"/>
      </w:pPr>
    </w:p>
    <w:p>
      <w:pPr>
        <w:pStyle w:val="Heading2"/>
        <w:keepNext/>
        <w:pageBreakBefore w:val="0"/>
      </w:pPr>
      <w:r>
        <w:t>8.1 Multi-agent orchestration</w:t>
      </w:r>
    </w:p>
    <w:p>
      <w:r>
        <w:t>A routing agent can classify a request and send it to the correct specialist agent. The router should not automatically inherit every specialist’s access. Each downstream agent and tool retains its own IAM, source scope, and authorization requirements. Cross-agent calls should be logged and restricted to the minimum required permissions.</w:t>
      </w:r>
    </w:p>
    <w:p>
      <w:pPr>
        <w:pStyle w:val="Heading1"/>
        <w:keepNext/>
        <w:pageBreakBefore/>
      </w:pPr>
      <w:r>
        <w:t>9. Implementing a Website Chat AI Agent</w:t>
      </w:r>
    </w:p>
    <w:p>
      <w:pPr>
        <w:pStyle w:val="Heading2"/>
        <w:keepNext/>
        <w:pageBreakBefore w:val="0"/>
      </w:pPr>
      <w:r>
        <w:t>9.1 Anonymous public website assistant</w:t>
      </w:r>
    </w:p>
    <w:p>
      <w:r>
        <w:t>The public assistant is built from a separate, approved knowledge source. Vertex AI Search can index public website pages or a curated public document collection and provides conversational search and an embeddable search widget. A custom chat interface can also call a Vertex AI agent through a backend hosted on Cloud Run or another secured Google Cloud service.</w:t>
      </w:r>
    </w:p>
    <w:p>
      <w:pPr>
        <w:pStyle w:val="ListBullet"/>
        <w:spacing w:after="60"/>
      </w:pPr>
      <w:r>
        <w:t>Use only public services, FAQs, service areas, hours, warranty explanations, case studies, and contact information.</w:t>
      </w:r>
    </w:p>
    <w:p>
      <w:pPr>
        <w:pStyle w:val="ListBullet"/>
        <w:spacing w:after="60"/>
      </w:pPr>
      <w:r>
        <w:t>Do not connect the anonymous agent to confidential Shared Drives or internal enterprise connectors.</w:t>
      </w:r>
    </w:p>
    <w:p>
      <w:pPr>
        <w:pStyle w:val="ListBullet"/>
        <w:spacing w:after="60"/>
      </w:pPr>
      <w:r>
        <w:t>Send browser requests to a protected backend; never expose privileged service-account credentials in webpage code.</w:t>
      </w:r>
    </w:p>
    <w:p>
      <w:pPr>
        <w:pStyle w:val="ListBullet"/>
        <w:spacing w:after="60"/>
      </w:pPr>
      <w:r>
        <w:t>Apply rate limits, abuse detection, bot protection, moderation, logging, privacy notices, and data-retention rules.</w:t>
      </w:r>
    </w:p>
    <w:p>
      <w:pPr>
        <w:pStyle w:val="ListBullet"/>
        <w:spacing w:after="60"/>
      </w:pPr>
      <w:r>
        <w:t>Store collected leads in an approved system and disclose what information is being collected.</w:t>
      </w:r>
    </w:p>
    <w:p>
      <w:pPr>
        <w:pStyle w:val="Heading2"/>
        <w:keepNext/>
        <w:pageBreakBefore w:val="0"/>
      </w:pPr>
      <w:r>
        <w:t>9.2 Authenticated employee or customer portal</w:t>
      </w:r>
    </w:p>
    <w:p>
      <w:r>
        <w:t>Private website answers require authentication. Google Identity Platform, Cloud Identity, Workspace identity, or another supported identity provider can establish the user. The backend exchanges that identity for authorized retrieval. The design must decide whether each source uses the individual user’s authorization, document-level ACLs in the search index, or a deliberately shared entitlement.</w:t>
      </w:r>
    </w:p>
    <w:tbl>
      <w:tblPr>
        <w:tblW w:type="auto" w:w="0"/>
        <w:jc w:val="center"/>
        <w:tblLayout w:type="fixed"/>
        <w:tblLook w:firstColumn="1" w:firstRow="1" w:lastColumn="0" w:lastRow="0" w:noHBand="0" w:noVBand="1" w:val="04A0"/>
      </w:tblPr>
      <w:tblGrid>
        <w:gridCol w:w="9648"/>
      </w:tblGrid>
      <w:tr>
        <w:tc>
          <w:tcPr>
            <w:tcW w:type="dxa" w:w="9936"/>
            <w:shd w:fill="EAF2FF"/>
            <w:tcMar>
              <w:top w:w="160" w:type="dxa"/>
              <w:start w:w="180" w:type="dxa"/>
              <w:bottom w:w="160" w:type="dxa"/>
              <w:end w:w="180" w:type="dxa"/>
            </w:tcMar>
          </w:tcPr>
          <w:p>
            <w:pPr>
              <w:spacing w:after="80"/>
            </w:pPr>
            <w:r>
              <w:rPr>
                <w:b/>
                <w:color w:val="1A428C"/>
              </w:rPr>
              <w:t>Authentication is not authorization</w:t>
            </w:r>
          </w:p>
          <w:p>
            <w:pPr>
              <w:spacing w:after="0"/>
            </w:pPr>
            <w:r>
              <w:t>Signing in proves who the user is. It does not automatically prove that the user may access every document available to the agent. The retrieval layer must enforce authorization separately.</w:t>
            </w:r>
          </w:p>
        </w:tc>
      </w:tr>
    </w:tbl>
    <w:p>
      <w:pPr>
        <w:spacing w:after="0"/>
      </w:pPr>
    </w:p>
    <w:p>
      <w:pPr>
        <w:pStyle w:val="Heading2"/>
        <w:keepNext/>
        <w:pageBreakBefore w:val="0"/>
      </w:pPr>
      <w:r>
        <w:t>9.3 Typical public website flow</w:t>
      </w:r>
    </w:p>
    <w:p>
      <w:pPr>
        <w:pStyle w:val="ListNumber"/>
        <w:spacing w:after="80"/>
      </w:pPr>
      <w:r>
        <w:t>A visitor opens the chat widget on the organization’s website.</w:t>
      </w:r>
    </w:p>
    <w:p>
      <w:pPr>
        <w:pStyle w:val="ListNumber"/>
        <w:spacing w:after="80"/>
      </w:pPr>
      <w:r>
        <w:t>The browser sends the question to a secured backend endpoint.</w:t>
      </w:r>
    </w:p>
    <w:p>
      <w:pPr>
        <w:pStyle w:val="ListNumber"/>
        <w:spacing w:after="80"/>
      </w:pPr>
      <w:r>
        <w:t>The backend validates the request, rate limits it, and strips unsupported input where appropriate.</w:t>
      </w:r>
    </w:p>
    <w:p>
      <w:pPr>
        <w:pStyle w:val="ListNumber"/>
        <w:spacing w:after="80"/>
      </w:pPr>
      <w:r>
        <w:t>The public agent searches only the approved public data store.</w:t>
      </w:r>
    </w:p>
    <w:p>
      <w:pPr>
        <w:pStyle w:val="ListNumber"/>
        <w:spacing w:after="80"/>
      </w:pPr>
      <w:r>
        <w:t>The Gemini model generates an answer from the retrieved public material.</w:t>
      </w:r>
    </w:p>
    <w:p>
      <w:pPr>
        <w:pStyle w:val="ListNumber"/>
        <w:spacing w:after="80"/>
      </w:pPr>
      <w:r>
        <w:t>The assistant presents sources, contact options, or a handoff form.</w:t>
      </w:r>
    </w:p>
    <w:p>
      <w:pPr>
        <w:pStyle w:val="ListNumber"/>
        <w:spacing w:after="80"/>
      </w:pPr>
      <w:r>
        <w:t>Logs and lead data are retained according to the organization’s published policy.</w:t>
      </w:r>
    </w:p>
    <w:p>
      <w:pPr>
        <w:pStyle w:val="Heading1"/>
        <w:keepNext/>
        <w:pageBreakBefore/>
      </w:pPr>
      <w:r>
        <w:t>10. Automation and Business-System Integration</w:t>
      </w:r>
    </w:p>
    <w:p>
      <w:r>
        <w:t>Agents can do more than answer questions, but every action expands risk. Google Workspace APIs, Apps Script, AppSheet, Cloud Functions, Cloud Run, Workflows, Pub/Sub, and third-party connectors can support controlled actions such as creating a draft, opening a ticket, updating a record, or routing a request.</w:t>
      </w:r>
    </w:p>
    <w:tbl>
      <w:tblPr>
        <w:tblStyle w:val="TableGrid"/>
        <w:tblW w:type="auto" w:w="0"/>
        <w:jc w:val="center"/>
        <w:tblLook w:firstColumn="1" w:firstRow="1" w:lastColumn="0" w:lastRow="0" w:noHBand="0" w:noVBand="1" w:val="04A0"/>
      </w:tblPr>
      <w:tblGrid>
        <w:gridCol w:w="3312"/>
        <w:gridCol w:w="3312"/>
        <w:gridCol w:w="3312"/>
      </w:tblGrid>
      <w:tr>
        <w:trPr>
          <w:tblHeader w:val="true"/>
        </w:trPr>
        <w:tc>
          <w:tcPr>
            <w:tcW w:type="dxa" w:w="1872"/>
            <w:shd w:fill="17365D"/>
            <w:tcMar>
              <w:top w:w="100" w:type="dxa"/>
              <w:start w:w="120" w:type="dxa"/>
              <w:bottom w:w="100" w:type="dxa"/>
              <w:end w:w="120" w:type="dxa"/>
            </w:tcMar>
          </w:tcPr>
          <w:p>
            <w:pPr>
              <w:jc w:val="left"/>
            </w:pPr>
            <w:r>
              <w:rPr>
                <w:b/>
                <w:color w:val="FFFFFF"/>
                <w:sz w:val="18"/>
              </w:rPr>
              <w:t>Action level</w:t>
            </w:r>
          </w:p>
        </w:tc>
        <w:tc>
          <w:tcPr>
            <w:tcW w:type="dxa" w:w="4464"/>
            <w:shd w:fill="17365D"/>
            <w:tcMar>
              <w:top w:w="100" w:type="dxa"/>
              <w:start w:w="120" w:type="dxa"/>
              <w:bottom w:w="100" w:type="dxa"/>
              <w:end w:w="120" w:type="dxa"/>
            </w:tcMar>
          </w:tcPr>
          <w:p>
            <w:pPr>
              <w:jc w:val="left"/>
            </w:pPr>
            <w:r>
              <w:rPr>
                <w:b/>
                <w:color w:val="FFFFFF"/>
                <w:sz w:val="18"/>
              </w:rPr>
              <w:t>Examples</w:t>
            </w:r>
          </w:p>
        </w:tc>
        <w:tc>
          <w:tcPr>
            <w:tcW w:type="dxa" w:w="3456"/>
            <w:shd w:fill="17365D"/>
            <w:tcMar>
              <w:top w:w="100" w:type="dxa"/>
              <w:start w:w="120" w:type="dxa"/>
              <w:bottom w:w="100" w:type="dxa"/>
              <w:end w:w="120" w:type="dxa"/>
            </w:tcMar>
          </w:tcPr>
          <w:p>
            <w:pPr>
              <w:jc w:val="left"/>
            </w:pPr>
            <w:r>
              <w:rPr>
                <w:b/>
                <w:color w:val="FFFFFF"/>
                <w:sz w:val="18"/>
              </w:rPr>
              <w:t>Required control</w:t>
            </w:r>
          </w:p>
        </w:tc>
      </w:tr>
      <w:tr>
        <w:tc>
          <w:tcPr>
            <w:tcW w:type="dxa" w:w="1872"/>
            <w:tcMar>
              <w:top w:w="100" w:type="dxa"/>
              <w:start w:w="120" w:type="dxa"/>
              <w:bottom w:w="100" w:type="dxa"/>
              <w:end w:w="120" w:type="dxa"/>
            </w:tcMar>
            <w:vAlign w:val="top"/>
          </w:tcPr>
          <w:p>
            <w:pPr>
              <w:spacing w:after="0"/>
            </w:pPr>
            <w:r>
              <w:rPr>
                <w:sz w:val="18"/>
              </w:rPr>
              <w:t>Read only</w:t>
            </w:r>
          </w:p>
        </w:tc>
        <w:tc>
          <w:tcPr>
            <w:tcW w:type="dxa" w:w="4464"/>
            <w:tcMar>
              <w:top w:w="100" w:type="dxa"/>
              <w:start w:w="120" w:type="dxa"/>
              <w:bottom w:w="100" w:type="dxa"/>
              <w:end w:w="120" w:type="dxa"/>
            </w:tcMar>
            <w:vAlign w:val="top"/>
          </w:tcPr>
          <w:p>
            <w:pPr>
              <w:spacing w:after="0"/>
            </w:pPr>
            <w:r>
              <w:rPr>
                <w:sz w:val="18"/>
              </w:rPr>
              <w:t>Search documents, summarize a procedure, locate a form</w:t>
            </w:r>
          </w:p>
        </w:tc>
        <w:tc>
          <w:tcPr>
            <w:tcW w:type="dxa" w:w="3456"/>
            <w:tcMar>
              <w:top w:w="100" w:type="dxa"/>
              <w:start w:w="120" w:type="dxa"/>
              <w:bottom w:w="100" w:type="dxa"/>
              <w:end w:w="120" w:type="dxa"/>
            </w:tcMar>
            <w:vAlign w:val="top"/>
          </w:tcPr>
          <w:p>
            <w:pPr>
              <w:spacing w:after="0"/>
            </w:pPr>
            <w:r>
              <w:rPr>
                <w:sz w:val="18"/>
              </w:rPr>
              <w:t>User authorization, source permissions, citations</w:t>
            </w:r>
          </w:p>
        </w:tc>
      </w:tr>
      <w:tr>
        <w:tc>
          <w:tcPr>
            <w:tcW w:type="dxa" w:w="1872"/>
            <w:tcMar>
              <w:top w:w="100" w:type="dxa"/>
              <w:start w:w="120" w:type="dxa"/>
              <w:bottom w:w="100" w:type="dxa"/>
              <w:end w:w="120" w:type="dxa"/>
            </w:tcMar>
            <w:vAlign w:val="top"/>
          </w:tcPr>
          <w:p>
            <w:pPr>
              <w:spacing w:after="0"/>
            </w:pPr>
            <w:r>
              <w:rPr>
                <w:sz w:val="18"/>
              </w:rPr>
              <w:t>Draft</w:t>
            </w:r>
          </w:p>
        </w:tc>
        <w:tc>
          <w:tcPr>
            <w:tcW w:type="dxa" w:w="4464"/>
            <w:tcMar>
              <w:top w:w="100" w:type="dxa"/>
              <w:start w:w="120" w:type="dxa"/>
              <w:bottom w:w="100" w:type="dxa"/>
              <w:end w:w="120" w:type="dxa"/>
            </w:tcMar>
            <w:vAlign w:val="top"/>
          </w:tcPr>
          <w:p>
            <w:pPr>
              <w:spacing w:after="0"/>
            </w:pPr>
            <w:r>
              <w:rPr>
                <w:sz w:val="18"/>
              </w:rPr>
              <w:t>Prepare an email, proposal, checklist, or ticket without sending</w:t>
            </w:r>
          </w:p>
        </w:tc>
        <w:tc>
          <w:tcPr>
            <w:tcW w:type="dxa" w:w="3456"/>
            <w:tcMar>
              <w:top w:w="100" w:type="dxa"/>
              <w:start w:w="120" w:type="dxa"/>
              <w:bottom w:w="100" w:type="dxa"/>
              <w:end w:w="120" w:type="dxa"/>
            </w:tcMar>
            <w:vAlign w:val="top"/>
          </w:tcPr>
          <w:p>
            <w:pPr>
              <w:spacing w:after="0"/>
            </w:pPr>
            <w:r>
              <w:rPr>
                <w:sz w:val="18"/>
              </w:rPr>
              <w:t>Human review before release</w:t>
            </w:r>
          </w:p>
        </w:tc>
      </w:tr>
      <w:tr>
        <w:tc>
          <w:tcPr>
            <w:tcW w:type="dxa" w:w="1872"/>
            <w:tcMar>
              <w:top w:w="100" w:type="dxa"/>
              <w:start w:w="120" w:type="dxa"/>
              <w:bottom w:w="100" w:type="dxa"/>
              <w:end w:w="120" w:type="dxa"/>
            </w:tcMar>
            <w:vAlign w:val="top"/>
          </w:tcPr>
          <w:p>
            <w:pPr>
              <w:spacing w:after="0"/>
            </w:pPr>
            <w:r>
              <w:rPr>
                <w:sz w:val="18"/>
              </w:rPr>
              <w:t>Low-risk write</w:t>
            </w:r>
          </w:p>
        </w:tc>
        <w:tc>
          <w:tcPr>
            <w:tcW w:type="dxa" w:w="4464"/>
            <w:tcMar>
              <w:top w:w="100" w:type="dxa"/>
              <w:start w:w="120" w:type="dxa"/>
              <w:bottom w:w="100" w:type="dxa"/>
              <w:end w:w="120" w:type="dxa"/>
            </w:tcMar>
            <w:vAlign w:val="top"/>
          </w:tcPr>
          <w:p>
            <w:pPr>
              <w:spacing w:after="0"/>
            </w:pPr>
            <w:r>
              <w:rPr>
                <w:sz w:val="18"/>
              </w:rPr>
              <w:t>Create a task, add a non-sensitive note, submit a lead</w:t>
            </w:r>
          </w:p>
        </w:tc>
        <w:tc>
          <w:tcPr>
            <w:tcW w:type="dxa" w:w="3456"/>
            <w:tcMar>
              <w:top w:w="100" w:type="dxa"/>
              <w:start w:w="120" w:type="dxa"/>
              <w:bottom w:w="100" w:type="dxa"/>
              <w:end w:w="120" w:type="dxa"/>
            </w:tcMar>
            <w:vAlign w:val="top"/>
          </w:tcPr>
          <w:p>
            <w:pPr>
              <w:spacing w:after="0"/>
            </w:pPr>
            <w:r>
              <w:rPr>
                <w:sz w:val="18"/>
              </w:rPr>
              <w:t>Scoped credentials, validation, audit log</w:t>
            </w:r>
          </w:p>
        </w:tc>
      </w:tr>
      <w:tr>
        <w:tc>
          <w:tcPr>
            <w:tcW w:type="dxa" w:w="1872"/>
            <w:tcMar>
              <w:top w:w="100" w:type="dxa"/>
              <w:start w:w="120" w:type="dxa"/>
              <w:bottom w:w="100" w:type="dxa"/>
              <w:end w:w="120" w:type="dxa"/>
            </w:tcMar>
            <w:vAlign w:val="top"/>
          </w:tcPr>
          <w:p>
            <w:pPr>
              <w:spacing w:after="0"/>
            </w:pPr>
            <w:r>
              <w:rPr>
                <w:sz w:val="18"/>
              </w:rPr>
              <w:t>Sensitive write</w:t>
            </w:r>
          </w:p>
        </w:tc>
        <w:tc>
          <w:tcPr>
            <w:tcW w:type="dxa" w:w="4464"/>
            <w:tcMar>
              <w:top w:w="100" w:type="dxa"/>
              <w:start w:w="120" w:type="dxa"/>
              <w:bottom w:w="100" w:type="dxa"/>
              <w:end w:w="120" w:type="dxa"/>
            </w:tcMar>
            <w:vAlign w:val="top"/>
          </w:tcPr>
          <w:p>
            <w:pPr>
              <w:spacing w:after="0"/>
            </w:pPr>
            <w:r>
              <w:rPr>
                <w:sz w:val="18"/>
              </w:rPr>
              <w:t>Change customer records, approve expenses, alter schedules</w:t>
            </w:r>
          </w:p>
        </w:tc>
        <w:tc>
          <w:tcPr>
            <w:tcW w:type="dxa" w:w="3456"/>
            <w:tcMar>
              <w:top w:w="100" w:type="dxa"/>
              <w:start w:w="120" w:type="dxa"/>
              <w:bottom w:w="100" w:type="dxa"/>
              <w:end w:w="120" w:type="dxa"/>
            </w:tcMar>
            <w:vAlign w:val="top"/>
          </w:tcPr>
          <w:p>
            <w:pPr>
              <w:spacing w:after="0"/>
            </w:pPr>
            <w:r>
              <w:rPr>
                <w:sz w:val="18"/>
              </w:rPr>
              <w:t>Role check, confirmation, transaction logging, rollback</w:t>
            </w:r>
          </w:p>
        </w:tc>
      </w:tr>
      <w:tr>
        <w:tc>
          <w:tcPr>
            <w:tcW w:type="dxa" w:w="1872"/>
            <w:tcMar>
              <w:top w:w="100" w:type="dxa"/>
              <w:start w:w="120" w:type="dxa"/>
              <w:bottom w:w="100" w:type="dxa"/>
              <w:end w:w="120" w:type="dxa"/>
            </w:tcMar>
            <w:vAlign w:val="top"/>
          </w:tcPr>
          <w:p>
            <w:pPr>
              <w:spacing w:after="0"/>
            </w:pPr>
            <w:r>
              <w:rPr>
                <w:sz w:val="18"/>
              </w:rPr>
              <w:t>High-impact action</w:t>
            </w:r>
          </w:p>
        </w:tc>
        <w:tc>
          <w:tcPr>
            <w:tcW w:type="dxa" w:w="4464"/>
            <w:tcMar>
              <w:top w:w="100" w:type="dxa"/>
              <w:start w:w="120" w:type="dxa"/>
              <w:bottom w:w="100" w:type="dxa"/>
              <w:end w:w="120" w:type="dxa"/>
            </w:tcMar>
            <w:vAlign w:val="top"/>
          </w:tcPr>
          <w:p>
            <w:pPr>
              <w:spacing w:after="0"/>
            </w:pPr>
            <w:r>
              <w:rPr>
                <w:sz w:val="18"/>
              </w:rPr>
              <w:t>Payments, deletions, personnel actions, legal commitments</w:t>
            </w:r>
          </w:p>
        </w:tc>
        <w:tc>
          <w:tcPr>
            <w:tcW w:type="dxa" w:w="3456"/>
            <w:tcMar>
              <w:top w:w="100" w:type="dxa"/>
              <w:start w:w="120" w:type="dxa"/>
              <w:bottom w:w="100" w:type="dxa"/>
              <w:end w:w="120" w:type="dxa"/>
            </w:tcMar>
            <w:vAlign w:val="top"/>
          </w:tcPr>
          <w:p>
            <w:pPr>
              <w:spacing w:after="0"/>
            </w:pPr>
            <w:r>
              <w:rPr>
                <w:sz w:val="18"/>
              </w:rPr>
              <w:t>Explicit human approval; often excluded from the initial release</w:t>
            </w:r>
          </w:p>
        </w:tc>
      </w:tr>
    </w:tbl>
    <w:p>
      <w:pPr>
        <w:spacing w:after="0"/>
      </w:pPr>
    </w:p>
    <w:p>
      <w:pPr>
        <w:pStyle w:val="Heading1"/>
        <w:keepNext/>
        <w:pageBreakBefore/>
      </w:pPr>
      <w:r>
        <w:t>11. Pixeldust Implementation Method</w:t>
      </w:r>
    </w:p>
    <w:p>
      <w:pPr>
        <w:spacing w:after="100"/>
      </w:pPr>
      <w:r>
        <w:rPr>
          <w:b/>
        </w:rPr>
        <w:t xml:space="preserve">1. Assessment: </w:t>
      </w:r>
      <w:r>
        <w:t>Confirm Workspace edition, Google Cloud organization, identity model, existing Shared Drives, external sharing, compliance needs, data locations, and target use cases.</w:t>
      </w:r>
    </w:p>
    <w:p>
      <w:pPr>
        <w:spacing w:after="100"/>
      </w:pPr>
      <w:r>
        <w:rPr>
          <w:b/>
        </w:rPr>
        <w:t xml:space="preserve">2. Knowledge inventory: </w:t>
      </w:r>
      <w:r>
        <w:t>Locate documents, interview experts, identify unwritten knowledge, classify sensitivity, and determine authoritative sources.</w:t>
      </w:r>
    </w:p>
    <w:p>
      <w:pPr>
        <w:spacing w:after="100"/>
      </w:pPr>
      <w:r>
        <w:rPr>
          <w:b/>
        </w:rPr>
        <w:t xml:space="preserve">3. Information architecture: </w:t>
      </w:r>
      <w:r>
        <w:t>Design Shared Drives, folders, Groups, owners, review dates, naming conventions, and retention rules.</w:t>
      </w:r>
    </w:p>
    <w:p>
      <w:pPr>
        <w:spacing w:after="100"/>
      </w:pPr>
      <w:r>
        <w:rPr>
          <w:b/>
        </w:rPr>
        <w:t xml:space="preserve">4. Security design: </w:t>
      </w:r>
      <w:r>
        <w:t>Define audiences, least-privilege roles, authentication, retrieval authorization, public/private separation, logging, and incident response.</w:t>
      </w:r>
    </w:p>
    <w:p>
      <w:pPr>
        <w:spacing w:after="100"/>
      </w:pPr>
      <w:r>
        <w:rPr>
          <w:b/>
        </w:rPr>
        <w:t xml:space="preserve">5. Platform selection: </w:t>
      </w:r>
      <w:r>
        <w:t>Choose Workspace-native Gemini, NotebookLM, Gemini Enterprise, Vertex AI custom agents, or a combination based on requirements and budget.</w:t>
      </w:r>
    </w:p>
    <w:p>
      <w:pPr>
        <w:spacing w:after="100"/>
      </w:pPr>
      <w:r>
        <w:rPr>
          <w:b/>
        </w:rPr>
        <w:t xml:space="preserve">6. Agent configuration: </w:t>
      </w:r>
      <w:r>
        <w:t>Create domain agents, approved source lists, grounding rules, fallback behavior, tools, actions, and escalation paths.</w:t>
      </w:r>
    </w:p>
    <w:p>
      <w:pPr>
        <w:spacing w:after="100"/>
      </w:pPr>
      <w:r>
        <w:rPr>
          <w:b/>
        </w:rPr>
        <w:t xml:space="preserve">7. Data preparation and indexing: </w:t>
      </w:r>
      <w:r>
        <w:t>Clean content, migrate approved material, configure connectors or data stores, preserve ACLs where required, and validate synchronization.</w:t>
      </w:r>
    </w:p>
    <w:p>
      <w:pPr>
        <w:spacing w:after="100"/>
      </w:pPr>
      <w:r>
        <w:rPr>
          <w:b/>
        </w:rPr>
        <w:t xml:space="preserve">8. Testing: </w:t>
      </w:r>
      <w:r>
        <w:t>Use representatives from multiple roles; test denied access, stale documents, conflicting sources, prompt injection, public-data leakage, unsupported questions, and citations.</w:t>
      </w:r>
    </w:p>
    <w:p>
      <w:pPr>
        <w:spacing w:after="100"/>
      </w:pPr>
      <w:r>
        <w:rPr>
          <w:b/>
        </w:rPr>
        <w:t xml:space="preserve">9. Pilot: </w:t>
      </w:r>
      <w:r>
        <w:t>Release to a controlled group, review real questions, correct sources and instructions, and measure answer usefulness.</w:t>
      </w:r>
    </w:p>
    <w:p>
      <w:pPr>
        <w:spacing w:after="100"/>
      </w:pPr>
      <w:r>
        <w:rPr>
          <w:b/>
        </w:rPr>
        <w:t xml:space="preserve">10. Production release: </w:t>
      </w:r>
      <w:r>
        <w:t>Publish the employee experience or website channel, establish support ownership, and document the final architecture.</w:t>
      </w:r>
    </w:p>
    <w:p>
      <w:pPr>
        <w:spacing w:after="100"/>
      </w:pPr>
      <w:r>
        <w:rPr>
          <w:b/>
        </w:rPr>
        <w:t xml:space="preserve">11. Governance: </w:t>
      </w:r>
      <w:r>
        <w:t>Review source freshness, group membership, agent versions, tools, logs, licenses, and security settings on a recurring schedule.</w:t>
      </w:r>
    </w:p>
    <w:p>
      <w:pPr>
        <w:pStyle w:val="Heading1"/>
        <w:keepNext/>
        <w:pageBreakBefore/>
      </w:pPr>
      <w:r>
        <w:t>12. Recommended Deployment Patterns</w:t>
      </w:r>
    </w:p>
    <w:tbl>
      <w:tblPr>
        <w:tblStyle w:val="TableGrid"/>
        <w:tblW w:type="auto" w:w="0"/>
        <w:jc w:val="center"/>
        <w:tblLook w:firstColumn="1" w:firstRow="1" w:lastColumn="0" w:lastRow="0" w:noHBand="0" w:noVBand="1" w:val="04A0"/>
      </w:tblPr>
      <w:tblGrid>
        <w:gridCol w:w="2484"/>
        <w:gridCol w:w="2484"/>
        <w:gridCol w:w="2484"/>
        <w:gridCol w:w="2484"/>
      </w:tblGrid>
      <w:tr>
        <w:trPr>
          <w:tblHeader w:val="true"/>
        </w:trPr>
        <w:tc>
          <w:tcPr>
            <w:tcW w:type="dxa" w:w="2016"/>
            <w:shd w:fill="17365D"/>
            <w:tcMar>
              <w:top w:w="100" w:type="dxa"/>
              <w:start w:w="120" w:type="dxa"/>
              <w:bottom w:w="100" w:type="dxa"/>
              <w:end w:w="120" w:type="dxa"/>
            </w:tcMar>
          </w:tcPr>
          <w:p>
            <w:pPr>
              <w:jc w:val="left"/>
            </w:pPr>
            <w:r>
              <w:rPr>
                <w:b/>
                <w:color w:val="FFFFFF"/>
                <w:sz w:val="18"/>
              </w:rPr>
              <w:t>Pattern</w:t>
            </w:r>
          </w:p>
        </w:tc>
        <w:tc>
          <w:tcPr>
            <w:tcW w:type="dxa" w:w="2592"/>
            <w:shd w:fill="17365D"/>
            <w:tcMar>
              <w:top w:w="100" w:type="dxa"/>
              <w:start w:w="120" w:type="dxa"/>
              <w:bottom w:w="100" w:type="dxa"/>
              <w:end w:w="120" w:type="dxa"/>
            </w:tcMar>
          </w:tcPr>
          <w:p>
            <w:pPr>
              <w:jc w:val="left"/>
            </w:pPr>
            <w:r>
              <w:rPr>
                <w:b/>
                <w:color w:val="FFFFFF"/>
                <w:sz w:val="18"/>
              </w:rPr>
              <w:t>Best use</w:t>
            </w:r>
          </w:p>
        </w:tc>
        <w:tc>
          <w:tcPr>
            <w:tcW w:type="dxa" w:w="3456"/>
            <w:shd w:fill="17365D"/>
            <w:tcMar>
              <w:top w:w="100" w:type="dxa"/>
              <w:start w:w="120" w:type="dxa"/>
              <w:bottom w:w="100" w:type="dxa"/>
              <w:end w:w="120" w:type="dxa"/>
            </w:tcMar>
          </w:tcPr>
          <w:p>
            <w:pPr>
              <w:jc w:val="left"/>
            </w:pPr>
            <w:r>
              <w:rPr>
                <w:b/>
                <w:color w:val="FFFFFF"/>
                <w:sz w:val="18"/>
              </w:rPr>
              <w:t>Core products</w:t>
            </w:r>
          </w:p>
        </w:tc>
        <w:tc>
          <w:tcPr>
            <w:tcW w:type="dxa" w:w="2160"/>
            <w:shd w:fill="17365D"/>
            <w:tcMar>
              <w:top w:w="100" w:type="dxa"/>
              <w:start w:w="120" w:type="dxa"/>
              <w:bottom w:w="100" w:type="dxa"/>
              <w:end w:w="120" w:type="dxa"/>
            </w:tcMar>
          </w:tcPr>
          <w:p>
            <w:pPr>
              <w:jc w:val="left"/>
            </w:pPr>
            <w:r>
              <w:rPr>
                <w:b/>
                <w:color w:val="FFFFFF"/>
                <w:sz w:val="18"/>
              </w:rPr>
              <w:t>Main caution</w:t>
            </w:r>
          </w:p>
        </w:tc>
      </w:tr>
      <w:tr>
        <w:tc>
          <w:tcPr>
            <w:tcW w:type="dxa" w:w="2016"/>
            <w:tcMar>
              <w:top w:w="100" w:type="dxa"/>
              <w:start w:w="120" w:type="dxa"/>
              <w:bottom w:w="100" w:type="dxa"/>
              <w:end w:w="120" w:type="dxa"/>
            </w:tcMar>
            <w:vAlign w:val="top"/>
          </w:tcPr>
          <w:p>
            <w:pPr>
              <w:spacing w:after="0"/>
            </w:pPr>
            <w:r>
              <w:rPr>
                <w:sz w:val="18"/>
              </w:rPr>
              <w:t>Workspace-first</w:t>
            </w:r>
          </w:p>
        </w:tc>
        <w:tc>
          <w:tcPr>
            <w:tcW w:type="dxa" w:w="2592"/>
            <w:tcMar>
              <w:top w:w="100" w:type="dxa"/>
              <w:start w:w="120" w:type="dxa"/>
              <w:bottom w:w="100" w:type="dxa"/>
              <w:end w:w="120" w:type="dxa"/>
            </w:tcMar>
            <w:vAlign w:val="top"/>
          </w:tcPr>
          <w:p>
            <w:pPr>
              <w:spacing w:after="0"/>
            </w:pPr>
            <w:r>
              <w:rPr>
                <w:sz w:val="18"/>
              </w:rPr>
              <w:t>Small organization needing fast employee productivity</w:t>
            </w:r>
          </w:p>
        </w:tc>
        <w:tc>
          <w:tcPr>
            <w:tcW w:type="dxa" w:w="3456"/>
            <w:tcMar>
              <w:top w:w="100" w:type="dxa"/>
              <w:start w:w="120" w:type="dxa"/>
              <w:bottom w:w="100" w:type="dxa"/>
              <w:end w:w="120" w:type="dxa"/>
            </w:tcMar>
            <w:vAlign w:val="top"/>
          </w:tcPr>
          <w:p>
            <w:pPr>
              <w:spacing w:after="0"/>
            </w:pPr>
            <w:r>
              <w:rPr>
                <w:sz w:val="18"/>
              </w:rPr>
              <w:t>Shared Drives, Groups, Gemini in Workspace, NotebookLM</w:t>
            </w:r>
          </w:p>
        </w:tc>
        <w:tc>
          <w:tcPr>
            <w:tcW w:type="dxa" w:w="2160"/>
            <w:tcMar>
              <w:top w:w="100" w:type="dxa"/>
              <w:start w:w="120" w:type="dxa"/>
              <w:bottom w:w="100" w:type="dxa"/>
              <w:end w:w="120" w:type="dxa"/>
            </w:tcMar>
            <w:vAlign w:val="top"/>
          </w:tcPr>
          <w:p>
            <w:pPr>
              <w:spacing w:after="0"/>
            </w:pPr>
            <w:r>
              <w:rPr>
                <w:sz w:val="18"/>
              </w:rPr>
              <w:t>Less control over a single branded, tightly bounded enterprise agent.</w:t>
            </w:r>
          </w:p>
        </w:tc>
      </w:tr>
      <w:tr>
        <w:tc>
          <w:tcPr>
            <w:tcW w:type="dxa" w:w="2016"/>
            <w:tcMar>
              <w:top w:w="100" w:type="dxa"/>
              <w:start w:w="120" w:type="dxa"/>
              <w:bottom w:w="100" w:type="dxa"/>
              <w:end w:w="120" w:type="dxa"/>
            </w:tcMar>
            <w:vAlign w:val="top"/>
          </w:tcPr>
          <w:p>
            <w:pPr>
              <w:spacing w:after="0"/>
            </w:pPr>
            <w:r>
              <w:rPr>
                <w:sz w:val="18"/>
              </w:rPr>
              <w:t>Enterprise search</w:t>
            </w:r>
          </w:p>
        </w:tc>
        <w:tc>
          <w:tcPr>
            <w:tcW w:type="dxa" w:w="2592"/>
            <w:tcMar>
              <w:top w:w="100" w:type="dxa"/>
              <w:start w:w="120" w:type="dxa"/>
              <w:bottom w:w="100" w:type="dxa"/>
              <w:end w:w="120" w:type="dxa"/>
            </w:tcMar>
            <w:vAlign w:val="top"/>
          </w:tcPr>
          <w:p>
            <w:pPr>
              <w:spacing w:after="0"/>
            </w:pPr>
            <w:r>
              <w:rPr>
                <w:sz w:val="18"/>
              </w:rPr>
              <w:t>Organization needing permission-aware search across repositories</w:t>
            </w:r>
          </w:p>
        </w:tc>
        <w:tc>
          <w:tcPr>
            <w:tcW w:type="dxa" w:w="3456"/>
            <w:tcMar>
              <w:top w:w="100" w:type="dxa"/>
              <w:start w:w="120" w:type="dxa"/>
              <w:bottom w:w="100" w:type="dxa"/>
              <w:end w:w="120" w:type="dxa"/>
            </w:tcMar>
            <w:vAlign w:val="top"/>
          </w:tcPr>
          <w:p>
            <w:pPr>
              <w:spacing w:after="0"/>
            </w:pPr>
            <w:r>
              <w:rPr>
                <w:sz w:val="18"/>
              </w:rPr>
              <w:t>Gemini Enterprise, Drive/Sites/Gmail connectors, Groups, IAM</w:t>
            </w:r>
          </w:p>
        </w:tc>
        <w:tc>
          <w:tcPr>
            <w:tcW w:type="dxa" w:w="2160"/>
            <w:tcMar>
              <w:top w:w="100" w:type="dxa"/>
              <w:start w:w="120" w:type="dxa"/>
              <w:bottom w:w="100" w:type="dxa"/>
              <w:end w:w="120" w:type="dxa"/>
            </w:tcMar>
            <w:vAlign w:val="top"/>
          </w:tcPr>
          <w:p>
            <w:pPr>
              <w:spacing w:after="0"/>
            </w:pPr>
            <w:r>
              <w:rPr>
                <w:sz w:val="18"/>
              </w:rPr>
              <w:t>Connector capability and licensing must be confirmed.</w:t>
            </w:r>
          </w:p>
        </w:tc>
      </w:tr>
      <w:tr>
        <w:tc>
          <w:tcPr>
            <w:tcW w:type="dxa" w:w="2016"/>
            <w:tcMar>
              <w:top w:w="100" w:type="dxa"/>
              <w:start w:w="120" w:type="dxa"/>
              <w:bottom w:w="100" w:type="dxa"/>
              <w:end w:w="120" w:type="dxa"/>
            </w:tcMar>
            <w:vAlign w:val="top"/>
          </w:tcPr>
          <w:p>
            <w:pPr>
              <w:spacing w:after="0"/>
            </w:pPr>
            <w:r>
              <w:rPr>
                <w:sz w:val="18"/>
              </w:rPr>
              <w:t>Custom internal agent</w:t>
            </w:r>
          </w:p>
        </w:tc>
        <w:tc>
          <w:tcPr>
            <w:tcW w:type="dxa" w:w="2592"/>
            <w:tcMar>
              <w:top w:w="100" w:type="dxa"/>
              <w:start w:w="120" w:type="dxa"/>
              <w:bottom w:w="100" w:type="dxa"/>
              <w:end w:w="120" w:type="dxa"/>
            </w:tcMar>
            <w:vAlign w:val="top"/>
          </w:tcPr>
          <w:p>
            <w:pPr>
              <w:spacing w:after="0"/>
            </w:pPr>
            <w:r>
              <w:rPr>
                <w:sz w:val="18"/>
              </w:rPr>
              <w:t>Organization needing workflows, custom UI, tools, or strict domain behavior</w:t>
            </w:r>
          </w:p>
        </w:tc>
        <w:tc>
          <w:tcPr>
            <w:tcW w:type="dxa" w:w="3456"/>
            <w:tcMar>
              <w:top w:w="100" w:type="dxa"/>
              <w:start w:w="120" w:type="dxa"/>
              <w:bottom w:w="100" w:type="dxa"/>
              <w:end w:w="120" w:type="dxa"/>
            </w:tcMar>
            <w:vAlign w:val="top"/>
          </w:tcPr>
          <w:p>
            <w:pPr>
              <w:spacing w:after="0"/>
            </w:pPr>
            <w:r>
              <w:rPr>
                <w:sz w:val="18"/>
              </w:rPr>
              <w:t>Vertex AI Agent Builder, Agent Search, Agent Engine, Cloud Run</w:t>
            </w:r>
          </w:p>
        </w:tc>
        <w:tc>
          <w:tcPr>
            <w:tcW w:type="dxa" w:w="2160"/>
            <w:tcMar>
              <w:top w:w="100" w:type="dxa"/>
              <w:start w:w="120" w:type="dxa"/>
              <w:bottom w:w="100" w:type="dxa"/>
              <w:end w:w="120" w:type="dxa"/>
            </w:tcMar>
            <w:vAlign w:val="top"/>
          </w:tcPr>
          <w:p>
            <w:pPr>
              <w:spacing w:after="0"/>
            </w:pPr>
            <w:r>
              <w:rPr>
                <w:sz w:val="18"/>
              </w:rPr>
              <w:t>Authorization and ACL design are the customer’s responsibility.</w:t>
            </w:r>
          </w:p>
        </w:tc>
      </w:tr>
      <w:tr>
        <w:tc>
          <w:tcPr>
            <w:tcW w:type="dxa" w:w="2016"/>
            <w:tcMar>
              <w:top w:w="100" w:type="dxa"/>
              <w:start w:w="120" w:type="dxa"/>
              <w:bottom w:w="100" w:type="dxa"/>
              <w:end w:w="120" w:type="dxa"/>
            </w:tcMar>
            <w:vAlign w:val="top"/>
          </w:tcPr>
          <w:p>
            <w:pPr>
              <w:spacing w:after="0"/>
            </w:pPr>
            <w:r>
              <w:rPr>
                <w:sz w:val="18"/>
              </w:rPr>
              <w:t>Public website assistant</w:t>
            </w:r>
          </w:p>
        </w:tc>
        <w:tc>
          <w:tcPr>
            <w:tcW w:type="dxa" w:w="2592"/>
            <w:tcMar>
              <w:top w:w="100" w:type="dxa"/>
              <w:start w:w="120" w:type="dxa"/>
              <w:bottom w:w="100" w:type="dxa"/>
              <w:end w:w="120" w:type="dxa"/>
            </w:tcMar>
            <w:vAlign w:val="top"/>
          </w:tcPr>
          <w:p>
            <w:pPr>
              <w:spacing w:after="0"/>
            </w:pPr>
            <w:r>
              <w:rPr>
                <w:sz w:val="18"/>
              </w:rPr>
              <w:t>Customer-facing FAQs and lead routing</w:t>
            </w:r>
          </w:p>
        </w:tc>
        <w:tc>
          <w:tcPr>
            <w:tcW w:type="dxa" w:w="3456"/>
            <w:tcMar>
              <w:top w:w="100" w:type="dxa"/>
              <w:start w:w="120" w:type="dxa"/>
              <w:bottom w:w="100" w:type="dxa"/>
              <w:end w:w="120" w:type="dxa"/>
            </w:tcMar>
            <w:vAlign w:val="top"/>
          </w:tcPr>
          <w:p>
            <w:pPr>
              <w:spacing w:after="0"/>
            </w:pPr>
            <w:r>
              <w:rPr>
                <w:sz w:val="18"/>
              </w:rPr>
              <w:t>Vertex AI Search or custom Vertex AI agent, Cloud Run, website widget</w:t>
            </w:r>
          </w:p>
        </w:tc>
        <w:tc>
          <w:tcPr>
            <w:tcW w:type="dxa" w:w="2160"/>
            <w:tcMar>
              <w:top w:w="100" w:type="dxa"/>
              <w:start w:w="120" w:type="dxa"/>
              <w:bottom w:w="100" w:type="dxa"/>
              <w:end w:w="120" w:type="dxa"/>
            </w:tcMar>
            <w:vAlign w:val="top"/>
          </w:tcPr>
          <w:p>
            <w:pPr>
              <w:spacing w:after="0"/>
            </w:pPr>
            <w:r>
              <w:rPr>
                <w:sz w:val="18"/>
              </w:rPr>
              <w:t>Must use a separate public knowledge store.</w:t>
            </w:r>
          </w:p>
        </w:tc>
      </w:tr>
      <w:tr>
        <w:tc>
          <w:tcPr>
            <w:tcW w:type="dxa" w:w="2016"/>
            <w:tcMar>
              <w:top w:w="100" w:type="dxa"/>
              <w:start w:w="120" w:type="dxa"/>
              <w:bottom w:w="100" w:type="dxa"/>
              <w:end w:w="120" w:type="dxa"/>
            </w:tcMar>
            <w:vAlign w:val="top"/>
          </w:tcPr>
          <w:p>
            <w:pPr>
              <w:spacing w:after="0"/>
            </w:pPr>
            <w:r>
              <w:rPr>
                <w:sz w:val="18"/>
              </w:rPr>
              <w:t>Hybrid</w:t>
            </w:r>
          </w:p>
        </w:tc>
        <w:tc>
          <w:tcPr>
            <w:tcW w:type="dxa" w:w="2592"/>
            <w:tcMar>
              <w:top w:w="100" w:type="dxa"/>
              <w:start w:w="120" w:type="dxa"/>
              <w:bottom w:w="100" w:type="dxa"/>
              <w:end w:w="120" w:type="dxa"/>
            </w:tcMar>
            <w:vAlign w:val="top"/>
          </w:tcPr>
          <w:p>
            <w:pPr>
              <w:spacing w:after="0"/>
            </w:pPr>
            <w:r>
              <w:rPr>
                <w:sz w:val="18"/>
              </w:rPr>
              <w:t>Most mature implementations</w:t>
            </w:r>
          </w:p>
        </w:tc>
        <w:tc>
          <w:tcPr>
            <w:tcW w:type="dxa" w:w="3456"/>
            <w:tcMar>
              <w:top w:w="100" w:type="dxa"/>
              <w:start w:w="120" w:type="dxa"/>
              <w:bottom w:w="100" w:type="dxa"/>
              <w:end w:w="120" w:type="dxa"/>
            </w:tcMar>
            <w:vAlign w:val="top"/>
          </w:tcPr>
          <w:p>
            <w:pPr>
              <w:spacing w:after="0"/>
            </w:pPr>
            <w:r>
              <w:rPr>
                <w:sz w:val="18"/>
              </w:rPr>
              <w:t>Workspace foundation plus Gemini Enterprise and selected custom agents</w:t>
            </w:r>
          </w:p>
        </w:tc>
        <w:tc>
          <w:tcPr>
            <w:tcW w:type="dxa" w:w="2160"/>
            <w:tcMar>
              <w:top w:w="100" w:type="dxa"/>
              <w:start w:w="120" w:type="dxa"/>
              <w:bottom w:w="100" w:type="dxa"/>
              <w:end w:w="120" w:type="dxa"/>
            </w:tcMar>
            <w:vAlign w:val="top"/>
          </w:tcPr>
          <w:p>
            <w:pPr>
              <w:spacing w:after="0"/>
            </w:pPr>
            <w:r>
              <w:rPr>
                <w:sz w:val="18"/>
              </w:rPr>
              <w:t>Requires clear ownership and governance across layers.</w:t>
            </w:r>
          </w:p>
        </w:tc>
      </w:tr>
    </w:tbl>
    <w:p>
      <w:pPr>
        <w:spacing w:after="0"/>
      </w:pPr>
    </w:p>
    <w:p>
      <w:pPr>
        <w:pStyle w:val="Heading1"/>
        <w:keepNext/>
        <w:pageBreakBefore/>
      </w:pPr>
      <w:r>
        <w:t>13. Shared Responsibility</w:t>
      </w:r>
    </w:p>
    <w:tbl>
      <w:tblPr>
        <w:tblStyle w:val="TableGrid"/>
        <w:tblW w:type="auto" w:w="0"/>
        <w:jc w:val="center"/>
        <w:tblLook w:firstColumn="1" w:firstRow="1" w:lastColumn="0" w:lastRow="0" w:noHBand="0" w:noVBand="1" w:val="04A0"/>
      </w:tblPr>
      <w:tblGrid>
        <w:gridCol w:w="3312"/>
        <w:gridCol w:w="3312"/>
        <w:gridCol w:w="3312"/>
      </w:tblGrid>
      <w:tr>
        <w:trPr>
          <w:tblHeader w:val="true"/>
        </w:trPr>
        <w:tc>
          <w:tcPr>
            <w:tcW w:type="dxa" w:w="3312"/>
            <w:shd w:fill="17365D"/>
            <w:tcMar>
              <w:top w:w="100" w:type="dxa"/>
              <w:start w:w="120" w:type="dxa"/>
              <w:bottom w:w="100" w:type="dxa"/>
              <w:end w:w="120" w:type="dxa"/>
            </w:tcMar>
          </w:tcPr>
          <w:p>
            <w:pPr>
              <w:jc w:val="left"/>
            </w:pPr>
            <w:r>
              <w:rPr>
                <w:b/>
                <w:color w:val="FFFFFF"/>
                <w:sz w:val="18"/>
              </w:rPr>
              <w:t>Pixeldust</w:t>
            </w:r>
          </w:p>
        </w:tc>
        <w:tc>
          <w:tcPr>
            <w:tcW w:type="dxa" w:w="3312"/>
            <w:shd w:fill="17365D"/>
            <w:tcMar>
              <w:top w:w="100" w:type="dxa"/>
              <w:start w:w="120" w:type="dxa"/>
              <w:bottom w:w="100" w:type="dxa"/>
              <w:end w:w="120" w:type="dxa"/>
            </w:tcMar>
          </w:tcPr>
          <w:p>
            <w:pPr>
              <w:jc w:val="left"/>
            </w:pPr>
            <w:r>
              <w:rPr>
                <w:b/>
                <w:color w:val="FFFFFF"/>
                <w:sz w:val="18"/>
              </w:rPr>
              <w:t>Customer</w:t>
            </w:r>
          </w:p>
        </w:tc>
        <w:tc>
          <w:tcPr>
            <w:tcW w:type="dxa" w:w="3312"/>
            <w:shd w:fill="17365D"/>
            <w:tcMar>
              <w:top w:w="100" w:type="dxa"/>
              <w:start w:w="120" w:type="dxa"/>
              <w:bottom w:w="100" w:type="dxa"/>
              <w:end w:w="120" w:type="dxa"/>
            </w:tcMar>
          </w:tcPr>
          <w:p>
            <w:pPr>
              <w:jc w:val="left"/>
            </w:pPr>
            <w:r>
              <w:rPr>
                <w:b/>
                <w:color w:val="FFFFFF"/>
                <w:sz w:val="18"/>
              </w:rPr>
              <w:t>Google</w:t>
            </w:r>
          </w:p>
        </w:tc>
      </w:tr>
      <w:tr>
        <w:tc>
          <w:tcPr>
            <w:tcW w:type="dxa" w:w="3312"/>
            <w:tcMar>
              <w:top w:w="100" w:type="dxa"/>
              <w:start w:w="120" w:type="dxa"/>
              <w:bottom w:w="100" w:type="dxa"/>
              <w:end w:w="120" w:type="dxa"/>
            </w:tcMar>
            <w:vAlign w:val="top"/>
          </w:tcPr>
          <w:p>
            <w:pPr>
              <w:spacing w:after="0"/>
            </w:pPr>
            <w:r>
              <w:rPr>
                <w:sz w:val="18"/>
              </w:rPr>
              <w:t>Designs knowledge architecture, configures agents, documents scope, performs testing, and trains owners.</w:t>
            </w:r>
          </w:p>
        </w:tc>
        <w:tc>
          <w:tcPr>
            <w:tcW w:type="dxa" w:w="3312"/>
            <w:tcMar>
              <w:top w:w="100" w:type="dxa"/>
              <w:start w:w="120" w:type="dxa"/>
              <w:bottom w:w="100" w:type="dxa"/>
              <w:end w:w="120" w:type="dxa"/>
            </w:tcMar>
            <w:vAlign w:val="top"/>
          </w:tcPr>
          <w:p>
            <w:pPr>
              <w:spacing w:after="0"/>
            </w:pPr>
            <w:r>
              <w:rPr>
                <w:sz w:val="18"/>
              </w:rPr>
              <w:t>Approves content, manages identities and employment changes, assigns business owners, chooses licenses, and maintains source accuracy.</w:t>
            </w:r>
          </w:p>
        </w:tc>
        <w:tc>
          <w:tcPr>
            <w:tcW w:type="dxa" w:w="3312"/>
            <w:tcMar>
              <w:top w:w="100" w:type="dxa"/>
              <w:start w:w="120" w:type="dxa"/>
              <w:bottom w:w="100" w:type="dxa"/>
              <w:end w:w="120" w:type="dxa"/>
            </w:tcMar>
            <w:vAlign w:val="top"/>
          </w:tcPr>
          <w:p>
            <w:pPr>
              <w:spacing w:after="0"/>
            </w:pPr>
            <w:r>
              <w:rPr>
                <w:sz w:val="18"/>
              </w:rPr>
              <w:t>Operates Workspace and Cloud services and provides platform security and contractual data protections according to selected services.</w:t>
            </w:r>
          </w:p>
        </w:tc>
      </w:tr>
      <w:tr>
        <w:tc>
          <w:tcPr>
            <w:tcW w:type="dxa" w:w="3312"/>
            <w:tcMar>
              <w:top w:w="100" w:type="dxa"/>
              <w:start w:w="120" w:type="dxa"/>
              <w:bottom w:w="100" w:type="dxa"/>
              <w:end w:w="120" w:type="dxa"/>
            </w:tcMar>
            <w:vAlign w:val="top"/>
          </w:tcPr>
          <w:p>
            <w:pPr>
              <w:spacing w:after="0"/>
            </w:pPr>
            <w:r>
              <w:rPr>
                <w:sz w:val="18"/>
              </w:rPr>
              <w:t>Recommends least privilege, public/private separation, and grounded-answer behavior.</w:t>
            </w:r>
          </w:p>
        </w:tc>
        <w:tc>
          <w:tcPr>
            <w:tcW w:type="dxa" w:w="3312"/>
            <w:tcMar>
              <w:top w:w="100" w:type="dxa"/>
              <w:start w:w="120" w:type="dxa"/>
              <w:bottom w:w="100" w:type="dxa"/>
              <w:end w:w="120" w:type="dxa"/>
            </w:tcMar>
            <w:vAlign w:val="top"/>
          </w:tcPr>
          <w:p>
            <w:pPr>
              <w:spacing w:after="0"/>
            </w:pPr>
            <w:r>
              <w:rPr>
                <w:sz w:val="18"/>
              </w:rPr>
              <w:t>Controls Groups, sharing, administrators, retention, legal requirements, and incident response.</w:t>
            </w:r>
          </w:p>
        </w:tc>
        <w:tc>
          <w:tcPr>
            <w:tcW w:type="dxa" w:w="3312"/>
            <w:tcMar>
              <w:top w:w="100" w:type="dxa"/>
              <w:start w:w="120" w:type="dxa"/>
              <w:bottom w:w="100" w:type="dxa"/>
              <w:end w:w="120" w:type="dxa"/>
            </w:tcMar>
            <w:vAlign w:val="top"/>
          </w:tcPr>
          <w:p>
            <w:pPr>
              <w:spacing w:after="0"/>
            </w:pPr>
            <w:r>
              <w:rPr>
                <w:sz w:val="18"/>
              </w:rPr>
              <w:t>Provides IAM, encryption, logging, compliance features, and service-specific security capabilities.</w:t>
            </w:r>
          </w:p>
        </w:tc>
      </w:tr>
      <w:tr>
        <w:tc>
          <w:tcPr>
            <w:tcW w:type="dxa" w:w="3312"/>
            <w:tcMar>
              <w:top w:w="100" w:type="dxa"/>
              <w:start w:w="120" w:type="dxa"/>
              <w:bottom w:w="100" w:type="dxa"/>
              <w:end w:w="120" w:type="dxa"/>
            </w:tcMar>
            <w:vAlign w:val="top"/>
          </w:tcPr>
          <w:p>
            <w:pPr>
              <w:spacing w:after="0"/>
            </w:pPr>
            <w:r>
              <w:rPr>
                <w:sz w:val="18"/>
              </w:rPr>
              <w:t>Does not guarantee that AI answers will always be correct.</w:t>
            </w:r>
          </w:p>
        </w:tc>
        <w:tc>
          <w:tcPr>
            <w:tcW w:type="dxa" w:w="3312"/>
            <w:tcMar>
              <w:top w:w="100" w:type="dxa"/>
              <w:start w:w="120" w:type="dxa"/>
              <w:bottom w:w="100" w:type="dxa"/>
              <w:end w:w="120" w:type="dxa"/>
            </w:tcMar>
            <w:vAlign w:val="top"/>
          </w:tcPr>
          <w:p>
            <w:pPr>
              <w:spacing w:after="0"/>
            </w:pPr>
            <w:r>
              <w:rPr>
                <w:sz w:val="18"/>
              </w:rPr>
              <w:t>Reviews high-impact workflows and ensures human oversight.</w:t>
            </w:r>
          </w:p>
        </w:tc>
        <w:tc>
          <w:tcPr>
            <w:tcW w:type="dxa" w:w="3312"/>
            <w:tcMar>
              <w:top w:w="100" w:type="dxa"/>
              <w:start w:w="120" w:type="dxa"/>
              <w:bottom w:w="100" w:type="dxa"/>
              <w:end w:w="120" w:type="dxa"/>
            </w:tcMar>
            <w:vAlign w:val="top"/>
          </w:tcPr>
          <w:p>
            <w:pPr>
              <w:spacing w:after="0"/>
            </w:pPr>
            <w:r>
              <w:rPr>
                <w:sz w:val="18"/>
              </w:rPr>
              <w:t>Publishes product documentation, terms, service limits, and security commitments.</w:t>
            </w:r>
          </w:p>
        </w:tc>
      </w:tr>
    </w:tbl>
    <w:p>
      <w:pPr>
        <w:spacing w:after="0"/>
      </w:pPr>
    </w:p>
    <w:p>
      <w:pPr>
        <w:pStyle w:val="Heading1"/>
        <w:keepNext/>
        <w:pageBreakBefore/>
      </w:pPr>
      <w:r>
        <w:t>14. Important Limitations and Honest Expectations</w:t>
      </w:r>
    </w:p>
    <w:p>
      <w:pPr>
        <w:pStyle w:val="ListBullet"/>
        <w:spacing w:after="60"/>
      </w:pPr>
      <w:r>
        <w:t>AI-generated answers can still be incomplete, inaccurate, or based on outdated source content.</w:t>
      </w:r>
    </w:p>
    <w:p>
      <w:pPr>
        <w:pStyle w:val="ListBullet"/>
        <w:spacing w:after="60"/>
      </w:pPr>
      <w:r>
        <w:t>Permissions only protect information when Drive sharing, Groups, connector ACLs, IAM, and application authorization are configured correctly.</w:t>
      </w:r>
    </w:p>
    <w:p>
      <w:pPr>
        <w:pStyle w:val="ListBullet"/>
        <w:spacing w:after="60"/>
      </w:pPr>
      <w:r>
        <w:t>An indexed copy of a document can create a new security boundary; the index must preserve or deliberately replace the original access model.</w:t>
      </w:r>
    </w:p>
    <w:p>
      <w:pPr>
        <w:pStyle w:val="ListBullet"/>
        <w:spacing w:after="60"/>
      </w:pPr>
      <w:r>
        <w:t>NotebookLM, Gemini in Workspace, Gemini Enterprise, and Vertex AI are different services with different capabilities and terms.</w:t>
      </w:r>
    </w:p>
    <w:p>
      <w:pPr>
        <w:pStyle w:val="ListBullet"/>
        <w:spacing w:after="60"/>
      </w:pPr>
      <w:r>
        <w:t>Product names, licensing, features, regions, limits, and security controls change. The final statement of work must confirm the current architecture.</w:t>
      </w:r>
    </w:p>
    <w:p>
      <w:pPr>
        <w:pStyle w:val="ListBullet"/>
        <w:spacing w:after="60"/>
      </w:pPr>
      <w:r>
        <w:t>Public agents should be assumed discoverable through conversation. Confidential information must not be placed in their sources.</w:t>
      </w:r>
    </w:p>
    <w:p>
      <w:pPr>
        <w:pStyle w:val="ListBullet"/>
        <w:spacing w:after="60"/>
      </w:pPr>
      <w:r>
        <w:t>Grounding reduces hallucination but does not eliminate it. Source citations and human escalation remain necessary.</w:t>
      </w:r>
    </w:p>
    <w:p>
      <w:pPr>
        <w:pStyle w:val="ListBullet"/>
        <w:spacing w:after="60"/>
      </w:pPr>
      <w:r>
        <w:t>Legal, medical, financial, personnel, safety, and compliance decisions require appropriate professional or human review.</w:t>
      </w:r>
    </w:p>
    <w:p>
      <w:pPr>
        <w:pStyle w:val="Heading1"/>
        <w:keepNext/>
        <w:pageBreakBefore/>
      </w:pPr>
      <w:r>
        <w:t>15. Summary</w:t>
      </w:r>
    </w:p>
    <w:p>
      <w:r>
        <w:t>A Google-based Pixeldust Knowledge Hub uses Google Workspace to organize and secure business knowledge, Gemini and NotebookLM to provide low-friction source-grounded assistance, Gemini Enterprise to deliver permission-aware enterprise search, and Vertex AI to build custom agents, workflows, and website experiences. The architecture keeps identity, source permissions, retrieval, model generation, application access, and public content as separate controls.</w:t>
      </w:r>
    </w:p>
    <w:p>
      <w:r>
        <w:t>The most important design choice is not which chatbot interface appears on the screen. It is whether the organization has governed knowledge, reliable ownership, correct permissions, approved source boundaries, enterprise data protections, and tested failure behavior. When those foundations are present, Google tools can deliver a secure knowledge system that grows more useful as the organization maintains it.</w:t>
      </w:r>
    </w:p>
    <w:p>
      <w:pPr>
        <w:pStyle w:val="Heading1"/>
        <w:keepNext/>
        <w:pageBreakBefore/>
      </w:pPr>
      <w:r>
        <w:t>Google Reference Notes</w:t>
      </w:r>
    </w:p>
    <w:p>
      <w:pPr>
        <w:spacing w:after="60"/>
      </w:pPr>
      <w:r>
        <w:rPr>
          <w:b/>
        </w:rPr>
        <w:t xml:space="preserve">Google Workspace Learning Center: </w:t>
      </w:r>
      <w:r>
        <w:t>What controls Gemini’s access to Workspace data.</w:t>
      </w:r>
    </w:p>
    <w:p>
      <w:pPr>
        <w:spacing w:after="60"/>
      </w:pPr>
      <w:r>
        <w:rPr>
          <w:b/>
        </w:rPr>
        <w:t xml:space="preserve">Google Workspace Admin Help: </w:t>
      </w:r>
      <w:r>
        <w:t>Gemini for Google Workspace FAQ and enterprise data protections.</w:t>
      </w:r>
    </w:p>
    <w:p>
      <w:pPr>
        <w:spacing w:after="60"/>
      </w:pPr>
      <w:r>
        <w:rPr>
          <w:b/>
        </w:rPr>
        <w:t xml:space="preserve">Google Drive Help: </w:t>
      </w:r>
      <w:r>
        <w:t>Get started with Google Workspace with Gemini.</w:t>
      </w:r>
    </w:p>
    <w:p>
      <w:pPr>
        <w:spacing w:after="60"/>
      </w:pPr>
      <w:r>
        <w:rPr>
          <w:b/>
        </w:rPr>
        <w:t xml:space="preserve">NotebookLM Help: </w:t>
      </w:r>
      <w:r>
        <w:t>Use NotebookLM with a work or school Google account; privacy and enterprise protections.</w:t>
      </w:r>
    </w:p>
    <w:p>
      <w:pPr>
        <w:spacing w:after="60"/>
      </w:pPr>
      <w:r>
        <w:rPr>
          <w:b/>
        </w:rPr>
        <w:t xml:space="preserve">Google Cloud Documentation: </w:t>
      </w:r>
      <w:r>
        <w:t>Gemini Enterprise connectors, document-level access controls, and enterprise agent governance.</w:t>
      </w:r>
    </w:p>
    <w:p>
      <w:pPr>
        <w:spacing w:after="60"/>
      </w:pPr>
      <w:r>
        <w:rPr>
          <w:b/>
        </w:rPr>
        <w:t xml:space="preserve">Google Cloud Documentation: </w:t>
      </w:r>
      <w:r>
        <w:t>Vertex AI Agent Builder, Agent Engine, IAM access control, and agent sharing.</w:t>
      </w:r>
    </w:p>
    <w:p>
      <w:pPr>
        <w:spacing w:after="60"/>
      </w:pPr>
      <w:r>
        <w:rPr>
          <w:b/>
        </w:rPr>
        <w:t xml:space="preserve">Google Cloud Documentation: </w:t>
      </w:r>
      <w:r>
        <w:t>Agent Search / Vertex AI Search, website search, conversational search, and data governance.</w:t>
      </w:r>
    </w:p>
    <w:p>
      <w:pPr>
        <w:spacing w:after="60"/>
      </w:pPr>
      <w:r>
        <w:rPr>
          <w:b/>
        </w:rPr>
        <w:t xml:space="preserve">Google Cloud Documentation: </w:t>
      </w:r>
      <w:r>
        <w:t>Generative AI data governance and training restrictions.</w:t>
      </w:r>
    </w:p>
    <w:p/>
    <w:p>
      <w:pPr>
        <w:spacing w:before="160"/>
      </w:pPr>
      <w:r>
        <w:rPr>
          <w:b/>
        </w:rPr>
        <w:t xml:space="preserve">Document note: </w:t>
      </w:r>
      <w:r>
        <w:t>This document describes a recommended Pixeldust architecture and Google capabilities available as of July 2026. Exact controls depend on licensing, account type, region, product edition, connector behavior, administrative configuration, and the final statement of work. This document is not a substitute for legal, regulatory, privacy, or formal cybersecurity advice.</w:t>
      </w:r>
    </w:p>
    <w:sectPr w:rsidR="00FC693F" w:rsidRPr="0006063C" w:rsidSect="00034616">
      <w:headerReference w:type="default" r:id="rId9"/>
      <w:footerReference w:type="default" r:id="rId10"/>
      <w:pgSz w:w="12240" w:h="15840"/>
      <w:pgMar w:top="1037" w:right="1152" w:bottom="979"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F6368"/>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5F6368"/>
        <w:sz w:val="16"/>
      </w:rPr>
      <w:t>PIXELDUST  |  GOOGLE KNOWLEDGE HUB ARCHITECTURE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1A73E8"/>
      <w:sz w:val="26"/>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Aptos Display" w:hAnsi="Aptos Display"/>
      <w:b/>
      <w:bCs/>
      <w:color w:val="5F636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Aptos Display" w:hAnsi="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Custom">
    <w:name w:val="Subtitle Custom"/>
    <w:rPr>
      <w:rFonts w:ascii="Aptos" w:hAnsi="Aptos"/>
      <w:color w:val="5F6368"/>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Pixeldust Knowledge Hub Implementation Using Google Tools and Products</dc:title>
  <dc:subject>Google Workspace, Gemini, Vertex AI, security, permissions, agents, and website chat architecture</dc:subject>
  <dc:creator>Pixeldust</dc:creator>
  <cp:keywords>Pixeldust, Knowledge Hub, Google Workspace, Gemini, Vertex AI, Agent Builder, security, permissions</cp:keywords>
  <dc:description>generated by python-docx</dc:description>
  <cp:lastModifiedBy/>
  <cp:revision>1</cp:revision>
  <dcterms:created xsi:type="dcterms:W3CDTF">2013-12-23T23:15:00Z</dcterms:created>
  <dcterms:modified xsi:type="dcterms:W3CDTF">2013-12-23T23:15:00Z</dcterms:modified>
  <cp:category/>
</cp:coreProperties>
</file>